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82" w:rsidRDefault="003A3C82" w:rsidP="003A3C82">
      <w:pPr>
        <w:spacing w:line="540" w:lineRule="exact"/>
        <w:jc w:val="center"/>
        <w:rPr>
          <w:rFonts w:eastAsia="宋体"/>
          <w:b/>
          <w:bCs/>
          <w:sz w:val="44"/>
          <w:szCs w:val="44"/>
          <w:shd w:val="clear" w:color="auto" w:fill="FFFFFF"/>
        </w:rPr>
      </w:pPr>
    </w:p>
    <w:p w:rsidR="003A3C82" w:rsidRPr="001601FB" w:rsidRDefault="003A3C82" w:rsidP="001601FB">
      <w:pPr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2021</w:t>
      </w: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年市级部门整体支出绩效报告</w:t>
      </w:r>
    </w:p>
    <w:p w:rsidR="003A3C82" w:rsidRDefault="003A3C82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黑体" w:eastAsia="黑体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黑体" w:eastAsia="黑体" w:hAnsi="宋体" w:cs="宋体" w:hint="eastAsia"/>
          <w:color w:val="000000"/>
          <w:kern w:val="0"/>
          <w:szCs w:val="32"/>
          <w:shd w:val="clear" w:color="auto" w:fill="FFFFFF"/>
        </w:rPr>
        <w:t>一、</w:t>
      </w:r>
      <w:r>
        <w:rPr>
          <w:rFonts w:ascii="黑体" w:eastAsia="黑体" w:hAnsi="宋体" w:cs="宋体" w:hint="eastAsia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 w:rsidR="003A3C82" w:rsidRDefault="003A3C82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 w:rsidR="003A3C82" w:rsidRPr="003A3C82" w:rsidRDefault="003A3C82" w:rsidP="005E7545">
      <w:pPr>
        <w:adjustRightInd w:val="0"/>
        <w:snapToGrid w:val="0"/>
        <w:spacing w:beforeLines="30" w:line="600" w:lineRule="exact"/>
        <w:ind w:firstLineChars="210" w:firstLine="672"/>
        <w:rPr>
          <w:rFonts w:ascii="仿宋" w:eastAsia="仿宋" w:hAnsi="仿宋"/>
          <w:color w:val="000000"/>
          <w:szCs w:val="32"/>
        </w:rPr>
      </w:pP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遂宁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市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自然资源和规划局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下属二级预算单位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共计</w:t>
      </w:r>
      <w:r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5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个，其中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财政全额拨款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事业单位</w:t>
      </w:r>
      <w:r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4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个，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自收自支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事业单位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1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个。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分别为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：遂宁市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 xml:space="preserve">河东新区自然资源和规划中心 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、遂宁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经济技术开发区自然资源和规划中心</w:t>
      </w:r>
      <w:r w:rsidRPr="003A3C82">
        <w:rPr>
          <w:rFonts w:ascii="仿宋" w:eastAsia="仿宋" w:hAnsi="仿宋" w:cs="Arial"/>
          <w:color w:val="000000"/>
          <w:szCs w:val="32"/>
          <w:shd w:val="clear" w:color="auto" w:fill="FFFFFF"/>
        </w:rPr>
        <w:t>、遂宁市不动产登记中心、遂宁市土地储备中心</w:t>
      </w:r>
      <w:r w:rsidRPr="003A3C82">
        <w:rPr>
          <w:rFonts w:ascii="仿宋" w:eastAsia="仿宋" w:hAnsi="仿宋" w:cs="Arial" w:hint="eastAsia"/>
          <w:color w:val="000000"/>
          <w:szCs w:val="32"/>
          <w:shd w:val="clear" w:color="auto" w:fill="FFFFFF"/>
        </w:rPr>
        <w:t>、遂宁市自然资源和规划局高新技术产业园区分局、遂宁市勘察测绘院。</w:t>
      </w:r>
    </w:p>
    <w:p w:rsidR="003A3C82" w:rsidRDefault="003A3C82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（二）机构职能。</w:t>
      </w:r>
    </w:p>
    <w:p w:rsidR="005E7545" w:rsidRPr="005E7545" w:rsidRDefault="005E7545" w:rsidP="005E7545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  <w:szCs w:val="32"/>
        </w:rPr>
      </w:pPr>
      <w:r w:rsidRPr="005E7545">
        <w:rPr>
          <w:rFonts w:ascii="仿宋" w:eastAsia="仿宋" w:hAnsi="仿宋"/>
          <w:kern w:val="0"/>
          <w:szCs w:val="32"/>
        </w:rPr>
        <w:t>（一）按照规定权限，履行全民所有土地、矿产、森林、草原、湿地、水等自然资源资产所有者职责和所有国土空间用途管制职责。组织实施自然资源和国土空间规划、城乡规划及测绘等法律、法规，拟订相关管理办法并贯彻实施。</w:t>
      </w:r>
    </w:p>
    <w:p w:rsidR="005E7545" w:rsidRPr="005E7545" w:rsidRDefault="005E7545" w:rsidP="005E7545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  <w:szCs w:val="32"/>
        </w:rPr>
      </w:pPr>
      <w:r w:rsidRPr="005E7545">
        <w:rPr>
          <w:rFonts w:ascii="仿宋" w:eastAsia="仿宋" w:hAnsi="仿宋"/>
          <w:kern w:val="0"/>
          <w:szCs w:val="32"/>
        </w:rPr>
        <w:t>（二）负责全市自然资源调查监测评价。贯彻执行自然资源调查监测评价的指标体系和统计标准，建立统一规范的自然资源调查监测评价制度。实施自然资源基础调查、专项调查和监测。负责自然资源调查监测评价成果的监督管理和信息发布。指导县（区）自然资源调查监测评价工作。</w:t>
      </w:r>
    </w:p>
    <w:p w:rsidR="005E7545" w:rsidRPr="005E7545" w:rsidRDefault="005E7545" w:rsidP="005E7545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  <w:szCs w:val="32"/>
        </w:rPr>
      </w:pPr>
      <w:r w:rsidRPr="005E7545">
        <w:rPr>
          <w:rFonts w:ascii="仿宋" w:eastAsia="仿宋" w:hAnsi="仿宋"/>
          <w:kern w:val="0"/>
          <w:szCs w:val="32"/>
        </w:rPr>
        <w:t>（三）负责全市自然资源统一确权登记工作。组织实施各类自然资源和不动产统一确权登记、权籍调查、不动产测绘、争议调处、成果应用的制度、标准、规范。推进全市自</w:t>
      </w:r>
      <w:r w:rsidRPr="005E7545">
        <w:rPr>
          <w:rFonts w:ascii="仿宋" w:eastAsia="仿宋" w:hAnsi="仿宋"/>
          <w:kern w:val="0"/>
          <w:szCs w:val="32"/>
        </w:rPr>
        <w:lastRenderedPageBreak/>
        <w:t>然资源和不动产登记信息管理基础平台建设。负责自然资源和不动产登记资料收集、整理、共享、汇交管理等。指导监督各县（区）自然资源和不动产确权登记工作。</w:t>
      </w:r>
    </w:p>
    <w:p w:rsidR="005E7545" w:rsidRPr="005E7545" w:rsidRDefault="005E7545" w:rsidP="005E7545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  <w:szCs w:val="32"/>
        </w:rPr>
      </w:pPr>
      <w:r w:rsidRPr="005E7545">
        <w:rPr>
          <w:rFonts w:ascii="仿宋" w:eastAsia="仿宋" w:hAnsi="仿宋"/>
          <w:kern w:val="0"/>
          <w:szCs w:val="32"/>
        </w:rPr>
        <w:t>（四）负责全市自然资源资产有偿使用工作。贯彻执行全民所有自然资源资产统计制度，负责全市全民所有自然资源资产核算。编制全民所有自然资源资产负债表，依照有关标准组织考核。执行全民所有自然资源资产划拨、出让、租赁、作价出资和土地储备政策，合理配置全民所有自然资源资产。负责自然资源资产价值评估管理，依法收缴相关资产收益。</w:t>
      </w:r>
    </w:p>
    <w:p w:rsidR="005E7545" w:rsidRPr="005E7545" w:rsidRDefault="005E7545" w:rsidP="005E7545">
      <w:pPr>
        <w:widowControl/>
        <w:spacing w:line="560" w:lineRule="exact"/>
        <w:ind w:firstLineChars="200" w:firstLine="640"/>
        <w:rPr>
          <w:kern w:val="0"/>
          <w:szCs w:val="32"/>
        </w:rPr>
      </w:pPr>
      <w:r w:rsidRPr="005E7545">
        <w:rPr>
          <w:rFonts w:ascii="仿宋" w:eastAsia="仿宋" w:hAnsi="仿宋"/>
          <w:kern w:val="0"/>
          <w:szCs w:val="32"/>
        </w:rPr>
        <w:t>（五）负责全市自然资源的合理开发利用。贯彻执行自然资源发展规划和战略，制定自然资源开发利用地方标准并组织实施，建立政府公示自然资源价格体系，组织开展自然资源分等定级价格评估，开展自然资源利用评价考核，指导节约集约利用。负责自然资源市场监管。组织研究自然资源管理涉及宏观调控、区域协调和城乡统筹的政策措施</w:t>
      </w:r>
      <w:r w:rsidRPr="005E7545">
        <w:rPr>
          <w:kern w:val="0"/>
          <w:szCs w:val="32"/>
        </w:rPr>
        <w:t>。</w:t>
      </w:r>
    </w:p>
    <w:p w:rsidR="003A3C82" w:rsidRDefault="003A3C82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（三）人员概况。</w:t>
      </w:r>
    </w:p>
    <w:p w:rsidR="00225296" w:rsidRPr="00225296" w:rsidRDefault="00225296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" w:eastAsia="仿宋" w:hAnsi="仿宋"/>
        </w:rPr>
      </w:pPr>
      <w:r w:rsidRPr="00225296">
        <w:rPr>
          <w:rFonts w:ascii="仿宋" w:eastAsia="仿宋" w:hAnsi="仿宋"/>
        </w:rPr>
        <w:t>遂宁市自然资源和规划局在编人员共195人，其中行政人员32人，行政执法编制28人，全额事业人员122</w:t>
      </w:r>
      <w:r w:rsidRPr="00225296">
        <w:rPr>
          <w:rFonts w:eastAsia="仿宋"/>
        </w:rPr>
        <w:t>  </w:t>
      </w:r>
      <w:r w:rsidRPr="00225296">
        <w:rPr>
          <w:rFonts w:ascii="仿宋" w:eastAsia="仿宋" w:hAnsi="仿宋"/>
        </w:rPr>
        <w:t>人，工勤编制1人，自收自支12人。</w:t>
      </w:r>
    </w:p>
    <w:p w:rsidR="003A3C82" w:rsidRDefault="003A3C82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黑体" w:eastAsia="黑体" w:hAnsi="宋体" w:cs="宋体"/>
          <w:color w:val="000000"/>
          <w:kern w:val="0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color w:val="000000"/>
          <w:kern w:val="0"/>
          <w:szCs w:val="32"/>
          <w:shd w:val="clear" w:color="auto" w:fill="FFFFFF"/>
        </w:rPr>
        <w:t>二、部门财政资金收支情况</w:t>
      </w:r>
    </w:p>
    <w:p w:rsidR="003A3C82" w:rsidRDefault="008A3C5D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（一）部门财政资金收入情况</w:t>
      </w:r>
    </w:p>
    <w:p w:rsidR="001F6CB5" w:rsidRDefault="001F6CB5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 w:rsidRPr="00860FF8">
        <w:rPr>
          <w:rFonts w:ascii="仿宋" w:eastAsia="仿宋" w:hAnsi="仿宋" w:hint="eastAsia"/>
          <w:color w:val="000000"/>
          <w:szCs w:val="32"/>
        </w:rPr>
        <w:t>20</w:t>
      </w:r>
      <w:r>
        <w:rPr>
          <w:rFonts w:ascii="仿宋" w:eastAsia="仿宋" w:hAnsi="仿宋" w:hint="eastAsia"/>
          <w:color w:val="000000"/>
          <w:szCs w:val="32"/>
        </w:rPr>
        <w:t>20</w:t>
      </w:r>
      <w:r w:rsidRPr="00860FF8">
        <w:rPr>
          <w:rFonts w:ascii="仿宋" w:eastAsia="仿宋" w:hAnsi="仿宋" w:hint="eastAsia"/>
          <w:color w:val="000000"/>
          <w:szCs w:val="32"/>
        </w:rPr>
        <w:t>年度财政拨款收入</w:t>
      </w:r>
      <w:r>
        <w:rPr>
          <w:rFonts w:ascii="仿宋" w:eastAsia="仿宋" w:hAnsi="仿宋" w:hint="eastAsia"/>
          <w:color w:val="000000"/>
          <w:szCs w:val="32"/>
        </w:rPr>
        <w:t>36080.03</w:t>
      </w:r>
      <w:r w:rsidRPr="00860FF8">
        <w:rPr>
          <w:rFonts w:ascii="仿宋" w:eastAsia="仿宋" w:hAnsi="仿宋" w:hint="eastAsia"/>
          <w:color w:val="000000"/>
          <w:szCs w:val="32"/>
        </w:rPr>
        <w:t>万元，其中一般公共预算财政拨款收入</w:t>
      </w:r>
      <w:r>
        <w:rPr>
          <w:rFonts w:ascii="仿宋" w:eastAsia="仿宋" w:hAnsi="仿宋" w:hint="eastAsia"/>
          <w:color w:val="000000"/>
          <w:szCs w:val="32"/>
        </w:rPr>
        <w:t>4569.02</w:t>
      </w:r>
      <w:r w:rsidRPr="00860FF8">
        <w:rPr>
          <w:rFonts w:ascii="仿宋" w:eastAsia="仿宋" w:hAnsi="仿宋" w:hint="eastAsia"/>
          <w:color w:val="000000"/>
          <w:szCs w:val="32"/>
        </w:rPr>
        <w:t>万元。</w:t>
      </w:r>
    </w:p>
    <w:p w:rsidR="003A3C82" w:rsidRDefault="003A3C82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lastRenderedPageBreak/>
        <w:t>（二）部门财政资金支出情况。</w:t>
      </w:r>
    </w:p>
    <w:p w:rsidR="001F6CB5" w:rsidRPr="001F6CB5" w:rsidRDefault="001F6CB5" w:rsidP="001F6CB5">
      <w:pPr>
        <w:spacing w:line="60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F6CB5">
        <w:rPr>
          <w:rFonts w:ascii="仿宋" w:eastAsia="仿宋" w:hAnsi="仿宋" w:hint="eastAsia"/>
          <w:color w:val="000000"/>
          <w:szCs w:val="32"/>
        </w:rPr>
        <w:t>2020年度财政拨款支出总计36080.03万元，其中一般公共预算财政拨款支出5104.43万元。</w:t>
      </w:r>
    </w:p>
    <w:p w:rsidR="001F6CB5" w:rsidRDefault="003A3C82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黑体" w:eastAsia="黑体" w:hAnsi="宋体" w:cs="宋体"/>
          <w:color w:val="000000"/>
          <w:kern w:val="0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color w:val="000000"/>
          <w:kern w:val="0"/>
          <w:szCs w:val="32"/>
          <w:shd w:val="clear" w:color="auto" w:fill="FFFFFF"/>
        </w:rPr>
        <w:t>三、部门整体预算绩效管理情况</w:t>
      </w:r>
    </w:p>
    <w:p w:rsidR="003A3C82" w:rsidRDefault="008A3C5D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（一）部门预算管理</w:t>
      </w:r>
    </w:p>
    <w:p w:rsidR="0043072A" w:rsidRPr="0043072A" w:rsidRDefault="0043072A" w:rsidP="0043072A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" w:eastAsia="仿宋" w:hAnsi="仿宋"/>
          <w:color w:val="595757"/>
          <w:szCs w:val="32"/>
          <w:shd w:val="clear" w:color="auto" w:fill="FFFFFF"/>
        </w:rPr>
      </w:pPr>
      <w:r w:rsidRPr="0043072A">
        <w:rPr>
          <w:rFonts w:ascii="仿宋" w:eastAsia="仿宋" w:hAnsi="仿宋"/>
          <w:color w:val="595757"/>
          <w:szCs w:val="32"/>
          <w:shd w:val="clear" w:color="auto" w:fill="FFFFFF"/>
        </w:rPr>
        <w:t>20</w:t>
      </w:r>
      <w:r>
        <w:rPr>
          <w:rFonts w:ascii="仿宋" w:eastAsia="仿宋" w:hAnsi="仿宋" w:hint="eastAsia"/>
          <w:color w:val="595757"/>
          <w:szCs w:val="32"/>
          <w:shd w:val="clear" w:color="auto" w:fill="FFFFFF"/>
        </w:rPr>
        <w:t>20</w:t>
      </w:r>
      <w:r w:rsidRPr="0043072A">
        <w:rPr>
          <w:rFonts w:ascii="仿宋" w:eastAsia="仿宋" w:hAnsi="仿宋"/>
          <w:color w:val="595757"/>
          <w:szCs w:val="32"/>
          <w:shd w:val="clear" w:color="auto" w:fill="FFFFFF"/>
        </w:rPr>
        <w:t>年本部门的绩效目标制定、目标完成、预决算编制等均按照</w:t>
      </w:r>
      <w:r>
        <w:rPr>
          <w:rFonts w:ascii="仿宋" w:eastAsia="仿宋" w:hAnsi="仿宋" w:hint="eastAsia"/>
          <w:color w:val="595757"/>
          <w:szCs w:val="32"/>
          <w:shd w:val="clear" w:color="auto" w:fill="FFFFFF"/>
        </w:rPr>
        <w:t>市</w:t>
      </w:r>
      <w:r w:rsidRPr="0043072A">
        <w:rPr>
          <w:rFonts w:ascii="仿宋" w:eastAsia="仿宋" w:hAnsi="仿宋"/>
          <w:color w:val="595757"/>
          <w:szCs w:val="32"/>
          <w:shd w:val="clear" w:color="auto" w:fill="FFFFFF"/>
        </w:rPr>
        <w:t>财政局下达的相关文件指标进行了编制，均按相关要求严格执行预算范围内开支，并</w:t>
      </w:r>
      <w:r>
        <w:rPr>
          <w:rFonts w:ascii="仿宋" w:eastAsia="仿宋" w:hAnsi="仿宋" w:hint="eastAsia"/>
          <w:color w:val="595757"/>
          <w:szCs w:val="32"/>
          <w:shd w:val="clear" w:color="auto" w:fill="FFFFFF"/>
        </w:rPr>
        <w:t>较好</w:t>
      </w:r>
      <w:r w:rsidRPr="0043072A">
        <w:rPr>
          <w:rFonts w:ascii="仿宋" w:eastAsia="仿宋" w:hAnsi="仿宋"/>
          <w:color w:val="595757"/>
          <w:szCs w:val="32"/>
          <w:shd w:val="clear" w:color="auto" w:fill="FFFFFF"/>
        </w:rPr>
        <w:t>完成预定目标，年中人员调离</w:t>
      </w:r>
      <w:r>
        <w:rPr>
          <w:rFonts w:ascii="仿宋" w:eastAsia="仿宋" w:hAnsi="仿宋" w:hint="eastAsia"/>
          <w:color w:val="595757"/>
          <w:szCs w:val="32"/>
          <w:shd w:val="clear" w:color="auto" w:fill="FFFFFF"/>
        </w:rPr>
        <w:t>或调入</w:t>
      </w:r>
      <w:r w:rsidRPr="0043072A">
        <w:rPr>
          <w:rFonts w:ascii="仿宋" w:eastAsia="仿宋" w:hAnsi="仿宋"/>
          <w:color w:val="595757"/>
          <w:szCs w:val="32"/>
          <w:shd w:val="clear" w:color="auto" w:fill="FFFFFF"/>
        </w:rPr>
        <w:t>本单位，及时进行了预算动态调整，全年无违规记录。</w:t>
      </w:r>
      <w:r w:rsidRPr="0043072A">
        <w:rPr>
          <w:rFonts w:ascii="microsoft yahei" w:eastAsia="仿宋" w:hAnsi="microsoft yahei"/>
          <w:color w:val="595757"/>
          <w:szCs w:val="32"/>
          <w:shd w:val="clear" w:color="auto" w:fill="FFFFFF"/>
        </w:rPr>
        <w:t>   </w:t>
      </w:r>
    </w:p>
    <w:p w:rsidR="003A3C82" w:rsidRDefault="008A3C5D" w:rsidP="0043072A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（二）结果应用情况</w:t>
      </w:r>
    </w:p>
    <w:p w:rsidR="00066F69" w:rsidRPr="00066F69" w:rsidRDefault="00066F69" w:rsidP="00066F69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" w:eastAsia="仿宋" w:hAnsi="仿宋"/>
          <w:color w:val="595757"/>
          <w:szCs w:val="32"/>
          <w:shd w:val="clear" w:color="auto" w:fill="FFFFFF"/>
        </w:rPr>
      </w:pPr>
      <w:r w:rsidRPr="00066F69">
        <w:rPr>
          <w:rFonts w:ascii="仿宋" w:eastAsia="仿宋" w:hAnsi="仿宋"/>
          <w:color w:val="595757"/>
          <w:szCs w:val="32"/>
          <w:shd w:val="clear" w:color="auto" w:fill="FFFFFF"/>
        </w:rPr>
        <w:t>本单位按照财政局下达的预算指标，严格执行预算内开支，保障了单位正常运转。本部门的预决算编制均按照</w:t>
      </w:r>
      <w:r w:rsidRPr="00066F69">
        <w:rPr>
          <w:rFonts w:ascii="仿宋" w:eastAsia="仿宋" w:hAnsi="仿宋" w:hint="eastAsia"/>
          <w:color w:val="595757"/>
          <w:szCs w:val="32"/>
          <w:shd w:val="clear" w:color="auto" w:fill="FFFFFF"/>
        </w:rPr>
        <w:t>市</w:t>
      </w:r>
      <w:r w:rsidRPr="00066F69">
        <w:rPr>
          <w:rFonts w:ascii="仿宋" w:eastAsia="仿宋" w:hAnsi="仿宋"/>
          <w:color w:val="595757"/>
          <w:szCs w:val="32"/>
          <w:shd w:val="clear" w:color="auto" w:fill="FFFFFF"/>
        </w:rPr>
        <w:t>财政局下达的相关文件指标进行了编制，按时完成编制工作，</w:t>
      </w:r>
      <w:r w:rsidRPr="00066F69">
        <w:rPr>
          <w:rFonts w:ascii="仿宋" w:eastAsia="仿宋" w:hAnsi="仿宋" w:hint="eastAsia"/>
          <w:color w:val="595757"/>
          <w:szCs w:val="32"/>
          <w:shd w:val="clear" w:color="auto" w:fill="FFFFFF"/>
        </w:rPr>
        <w:t>预</w:t>
      </w:r>
      <w:r w:rsidRPr="00066F69">
        <w:rPr>
          <w:rFonts w:ascii="仿宋" w:eastAsia="仿宋" w:hAnsi="仿宋"/>
          <w:color w:val="595757"/>
          <w:szCs w:val="32"/>
          <w:shd w:val="clear" w:color="auto" w:fill="FFFFFF"/>
        </w:rPr>
        <w:t>决算报表和说明均在</w:t>
      </w:r>
      <w:r w:rsidRPr="00066F69">
        <w:rPr>
          <w:rFonts w:ascii="仿宋" w:eastAsia="仿宋" w:hAnsi="仿宋" w:hint="eastAsia"/>
          <w:color w:val="595757"/>
          <w:szCs w:val="32"/>
          <w:shd w:val="clear" w:color="auto" w:fill="FFFFFF"/>
        </w:rPr>
        <w:t>遂宁市</w:t>
      </w:r>
      <w:r w:rsidRPr="00066F69">
        <w:rPr>
          <w:rFonts w:ascii="仿宋" w:eastAsia="仿宋" w:hAnsi="仿宋"/>
          <w:color w:val="595757"/>
          <w:szCs w:val="32"/>
          <w:shd w:val="clear" w:color="auto" w:fill="FFFFFF"/>
        </w:rPr>
        <w:t>政府门户网站公开。绩效目标也按照有关文件如实进行了填报</w:t>
      </w:r>
      <w:r w:rsidRPr="00066F69">
        <w:rPr>
          <w:rFonts w:ascii="仿宋" w:eastAsia="仿宋" w:hAnsi="仿宋" w:hint="eastAsia"/>
          <w:color w:val="595757"/>
          <w:szCs w:val="32"/>
          <w:shd w:val="clear" w:color="auto" w:fill="FFFFFF"/>
        </w:rPr>
        <w:t>。</w:t>
      </w:r>
    </w:p>
    <w:p w:rsidR="003A3C82" w:rsidRDefault="003A3C82" w:rsidP="00066F69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黑体" w:eastAsia="黑体" w:hAnsi="宋体" w:cs="宋体"/>
          <w:color w:val="000000"/>
          <w:kern w:val="0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color w:val="000000"/>
          <w:kern w:val="0"/>
          <w:szCs w:val="32"/>
          <w:shd w:val="clear" w:color="auto" w:fill="FFFFFF"/>
        </w:rPr>
        <w:t>四、评价结论及建议</w:t>
      </w:r>
    </w:p>
    <w:p w:rsidR="003A3C82" w:rsidRDefault="008A3C5D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（一）评价结论</w:t>
      </w:r>
    </w:p>
    <w:p w:rsidR="008A3C5D" w:rsidRPr="008A3C5D" w:rsidRDefault="008A3C5D" w:rsidP="008A3C5D">
      <w:pPr>
        <w:adjustRightInd w:val="0"/>
        <w:snapToGrid w:val="0"/>
        <w:spacing w:line="540" w:lineRule="exact"/>
        <w:ind w:firstLine="720"/>
        <w:jc w:val="left"/>
        <w:rPr>
          <w:rFonts w:ascii="仿宋" w:eastAsia="仿宋" w:hAnsi="仿宋"/>
          <w:color w:val="000000"/>
          <w:kern w:val="0"/>
          <w:shd w:val="clear" w:color="auto" w:fill="FFFFFF"/>
          <w:lang w:val="zh-CN"/>
        </w:rPr>
      </w:pPr>
      <w:r w:rsidRPr="008A3C5D">
        <w:rPr>
          <w:rFonts w:ascii="仿宋" w:eastAsia="仿宋" w:hAnsi="仿宋" w:hint="eastAsia"/>
          <w:szCs w:val="32"/>
        </w:rPr>
        <w:t>按照预算绩效管理要求，</w:t>
      </w:r>
      <w:r w:rsidRPr="008A3C5D">
        <w:rPr>
          <w:rFonts w:ascii="仿宋" w:eastAsia="仿宋" w:hAnsi="仿宋" w:hint="eastAsia"/>
          <w:color w:val="000000"/>
          <w:kern w:val="0"/>
          <w:shd w:val="clear" w:color="auto" w:fill="FFFFFF"/>
          <w:lang w:val="zh-CN"/>
        </w:rPr>
        <w:t>市自然资源和规划局2019年整体绩效自评为90分，绝大多数项目部门绩效目标要素完整、细化量化。部门绩效目标实际实现程度与预期目标的偏离度较低，基本完成到预期指标。</w:t>
      </w:r>
    </w:p>
    <w:p w:rsidR="003A3C82" w:rsidRDefault="008A3C5D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（二）存在问题</w:t>
      </w:r>
    </w:p>
    <w:p w:rsidR="008A3C5D" w:rsidRPr="008A3C5D" w:rsidRDefault="008A3C5D" w:rsidP="008A3C5D">
      <w:pPr>
        <w:ind w:firstLineChars="200" w:firstLine="640"/>
        <w:rPr>
          <w:rFonts w:ascii="仿宋" w:eastAsia="仿宋" w:hAnsi="仿宋"/>
          <w:szCs w:val="32"/>
        </w:rPr>
      </w:pPr>
      <w:r w:rsidRPr="008A3C5D">
        <w:rPr>
          <w:rFonts w:ascii="仿宋" w:eastAsia="仿宋" w:hAnsi="仿宋" w:hint="eastAsia"/>
          <w:szCs w:val="32"/>
        </w:rPr>
        <w:t>一是项目预算不够科学。对下年度工作的统筹考虑还不</w:t>
      </w:r>
      <w:r w:rsidRPr="008A3C5D">
        <w:rPr>
          <w:rFonts w:ascii="仿宋" w:eastAsia="仿宋" w:hAnsi="仿宋" w:hint="eastAsia"/>
          <w:szCs w:val="32"/>
        </w:rPr>
        <w:lastRenderedPageBreak/>
        <w:t>够周全和详细，在编制预算时对全年工作进行充分调研和论证不够，导致编制出的预算不够全面和准确。二是专项资金使用的时效性与实效性欠佳。</w:t>
      </w:r>
    </w:p>
    <w:p w:rsidR="003A3C82" w:rsidRDefault="008A3C5D" w:rsidP="003A3C82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ascii="仿宋_GB2312" w:hAnsi="宋体" w:cs="宋体" w:hint="eastAsia"/>
          <w:color w:val="000000"/>
          <w:kern w:val="0"/>
          <w:szCs w:val="32"/>
          <w:shd w:val="clear" w:color="auto" w:fill="FFFFFF"/>
          <w:lang w:val="zh-CN"/>
        </w:rPr>
        <w:t>（三）改进建议</w:t>
      </w:r>
    </w:p>
    <w:p w:rsidR="003A3C82" w:rsidRDefault="008A3C5D" w:rsidP="008A3C5D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eastAsia="黑体" w:hint="eastAsia"/>
          <w:szCs w:val="32"/>
        </w:rPr>
        <w:t xml:space="preserve">   </w:t>
      </w:r>
      <w:r w:rsidRPr="008A3C5D">
        <w:rPr>
          <w:rFonts w:ascii="仿宋" w:eastAsia="仿宋" w:hAnsi="仿宋" w:hint="eastAsia"/>
          <w:szCs w:val="32"/>
        </w:rPr>
        <w:t>一是科学合理编制预算，严格执行预算，在日常预算管理过程中，进一步加强预算支出的审核、跟踪及预算执行情况分析；二是进一步加强资产管理；三是提高专项项目预算执行进度。</w:t>
      </w:r>
      <w:r>
        <w:rPr>
          <w:rFonts w:ascii="仿宋" w:eastAsia="仿宋" w:hAnsi="仿宋" w:hint="eastAsia"/>
          <w:szCs w:val="32"/>
        </w:rPr>
        <w:t xml:space="preserve">   </w:t>
      </w:r>
    </w:p>
    <w:p w:rsidR="008A3C5D" w:rsidRPr="008A3C5D" w:rsidRDefault="008A3C5D" w:rsidP="008A3C5D">
      <w:pPr>
        <w:ind w:firstLineChars="200" w:firstLine="640"/>
        <w:rPr>
          <w:rFonts w:ascii="仿宋" w:eastAsia="仿宋" w:hAnsi="仿宋"/>
          <w:szCs w:val="32"/>
        </w:rPr>
      </w:pPr>
    </w:p>
    <w:p w:rsidR="008A3C5D" w:rsidRDefault="008A3C5D" w:rsidP="003A3C82">
      <w:pPr>
        <w:rPr>
          <w:rFonts w:eastAsia="黑体"/>
          <w:szCs w:val="32"/>
        </w:rPr>
      </w:pPr>
      <w:r>
        <w:rPr>
          <w:rFonts w:eastAsia="黑体" w:hint="eastAsia"/>
          <w:szCs w:val="32"/>
        </w:rPr>
        <w:t>附件：</w:t>
      </w:r>
      <w:r w:rsidRPr="008A3C5D">
        <w:rPr>
          <w:rFonts w:eastAsia="黑体" w:hint="eastAsia"/>
          <w:szCs w:val="32"/>
        </w:rPr>
        <w:t>2021</w:t>
      </w:r>
      <w:r w:rsidRPr="008A3C5D">
        <w:rPr>
          <w:rFonts w:eastAsia="黑体" w:hint="eastAsia"/>
          <w:szCs w:val="32"/>
        </w:rPr>
        <w:t>年市级部门整体支出绩效评价指标体系</w:t>
      </w:r>
    </w:p>
    <w:p w:rsidR="008A3C5D" w:rsidRDefault="008A3C5D" w:rsidP="003A3C82">
      <w:pPr>
        <w:rPr>
          <w:rFonts w:eastAsia="黑体"/>
          <w:szCs w:val="32"/>
        </w:rPr>
      </w:pPr>
    </w:p>
    <w:p w:rsidR="008A3C5D" w:rsidRDefault="008A3C5D" w:rsidP="003A3C82">
      <w:pPr>
        <w:rPr>
          <w:rFonts w:eastAsia="黑体"/>
          <w:szCs w:val="32"/>
        </w:rPr>
      </w:pPr>
    </w:p>
    <w:p w:rsidR="008A3C5D" w:rsidRDefault="008A3C5D" w:rsidP="003A3C82">
      <w:pPr>
        <w:rPr>
          <w:rFonts w:eastAsia="黑体"/>
          <w:szCs w:val="32"/>
        </w:rPr>
      </w:pPr>
    </w:p>
    <w:p w:rsidR="008A3C5D" w:rsidRDefault="008A3C5D" w:rsidP="008A3C5D">
      <w:pPr>
        <w:jc w:val="right"/>
        <w:rPr>
          <w:rFonts w:eastAsia="黑体"/>
          <w:szCs w:val="32"/>
        </w:rPr>
      </w:pPr>
      <w:r>
        <w:rPr>
          <w:rFonts w:eastAsia="黑体" w:hint="eastAsia"/>
          <w:szCs w:val="32"/>
        </w:rPr>
        <w:t xml:space="preserve">              </w:t>
      </w:r>
      <w:r>
        <w:rPr>
          <w:rFonts w:eastAsia="黑体" w:hint="eastAsia"/>
          <w:szCs w:val="32"/>
        </w:rPr>
        <w:t>遂宁市自然资源和规划局</w:t>
      </w:r>
    </w:p>
    <w:p w:rsidR="00ED7C75" w:rsidRDefault="008A3C5D" w:rsidP="008A3C5D">
      <w:pPr>
        <w:jc w:val="right"/>
      </w:pPr>
      <w:r>
        <w:rPr>
          <w:rFonts w:eastAsia="黑体" w:hint="eastAsia"/>
          <w:szCs w:val="32"/>
        </w:rPr>
        <w:t xml:space="preserve">    2021</w:t>
      </w:r>
      <w:r>
        <w:rPr>
          <w:rFonts w:eastAsia="黑体" w:hint="eastAsia"/>
          <w:szCs w:val="32"/>
        </w:rPr>
        <w:t>年</w:t>
      </w:r>
      <w:r>
        <w:rPr>
          <w:rFonts w:eastAsia="黑体" w:hint="eastAsia"/>
          <w:szCs w:val="32"/>
        </w:rPr>
        <w:t>7</w:t>
      </w:r>
      <w:r>
        <w:rPr>
          <w:rFonts w:eastAsia="黑体" w:hint="eastAsia"/>
          <w:szCs w:val="32"/>
        </w:rPr>
        <w:t>月</w:t>
      </w:r>
      <w:r>
        <w:rPr>
          <w:rFonts w:eastAsia="黑体" w:hint="eastAsia"/>
          <w:szCs w:val="32"/>
        </w:rPr>
        <w:t>2</w:t>
      </w:r>
      <w:r w:rsidR="005E7545">
        <w:rPr>
          <w:rFonts w:eastAsia="黑体" w:hint="eastAsia"/>
          <w:szCs w:val="32"/>
        </w:rPr>
        <w:t>8</w:t>
      </w:r>
      <w:r>
        <w:rPr>
          <w:rFonts w:eastAsia="黑体" w:hint="eastAsia"/>
          <w:szCs w:val="32"/>
        </w:rPr>
        <w:t>日</w:t>
      </w:r>
      <w:r w:rsidR="003A3C82">
        <w:rPr>
          <w:rFonts w:eastAsia="黑体"/>
          <w:szCs w:val="32"/>
        </w:rPr>
        <w:br w:type="page"/>
      </w:r>
    </w:p>
    <w:sectPr w:rsidR="00ED7C75" w:rsidSect="00A4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1B8" w:rsidRDefault="004601B8" w:rsidP="00973707">
      <w:r>
        <w:separator/>
      </w:r>
    </w:p>
  </w:endnote>
  <w:endnote w:type="continuationSeparator" w:id="0">
    <w:p w:rsidR="004601B8" w:rsidRDefault="004601B8" w:rsidP="0097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1B8" w:rsidRDefault="004601B8" w:rsidP="00973707">
      <w:r>
        <w:separator/>
      </w:r>
    </w:p>
  </w:footnote>
  <w:footnote w:type="continuationSeparator" w:id="0">
    <w:p w:rsidR="004601B8" w:rsidRDefault="004601B8" w:rsidP="00973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C82"/>
    <w:rsid w:val="00066F69"/>
    <w:rsid w:val="00084E7A"/>
    <w:rsid w:val="001601FB"/>
    <w:rsid w:val="001F6CB5"/>
    <w:rsid w:val="00225296"/>
    <w:rsid w:val="003A3C82"/>
    <w:rsid w:val="003E4A0D"/>
    <w:rsid w:val="0043072A"/>
    <w:rsid w:val="004601B8"/>
    <w:rsid w:val="00586F4C"/>
    <w:rsid w:val="005E7545"/>
    <w:rsid w:val="00694363"/>
    <w:rsid w:val="008A3C5D"/>
    <w:rsid w:val="009145B0"/>
    <w:rsid w:val="00973707"/>
    <w:rsid w:val="009C1663"/>
    <w:rsid w:val="00A42781"/>
    <w:rsid w:val="00B8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8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70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70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Qi</dc:creator>
  <cp:lastModifiedBy>Liu Qi</cp:lastModifiedBy>
  <cp:revision>8</cp:revision>
  <cp:lastPrinted>2021-07-28T02:02:00Z</cp:lastPrinted>
  <dcterms:created xsi:type="dcterms:W3CDTF">2021-07-26T03:07:00Z</dcterms:created>
  <dcterms:modified xsi:type="dcterms:W3CDTF">2021-07-28T08:14:00Z</dcterms:modified>
</cp:coreProperties>
</file>