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ind w:left="0" w:leftChars="0" w:firstLine="0" w:firstLineChars="0"/>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pStyle w:val="2"/>
        <w:keepNext w:val="0"/>
        <w:keepLines w:val="0"/>
        <w:pageBreakBefore w:val="0"/>
        <w:widowControl w:val="0"/>
        <w:kinsoku/>
        <w:wordWrap/>
        <w:overflowPunct/>
        <w:topLinePunct w:val="0"/>
        <w:autoSpaceDE/>
        <w:autoSpaceDN/>
        <w:bidi w:val="0"/>
        <w:spacing w:line="550" w:lineRule="exact"/>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ascii="方正仿宋简体" w:hAnsi="方正仿宋简体" w:eastAsia="方正仿宋简体" w:cs="方正仿宋简体"/>
          <w:b/>
          <w:bCs/>
          <w:sz w:val="32"/>
          <w:szCs w:val="32"/>
          <w:lang w:val="en-US" w:eastAsia="zh-CN"/>
        </w:rPr>
      </w:pPr>
      <w:bookmarkStart w:id="0" w:name="_GoBack"/>
      <w:bookmarkEnd w:id="0"/>
      <w:r>
        <w:rPr>
          <w:rFonts w:hint="eastAsia" w:ascii="方正仿宋简体" w:hAnsi="方正仿宋简体" w:eastAsia="方正仿宋简体" w:cs="方正仿宋简体"/>
          <w:b/>
          <w:bCs/>
          <w:sz w:val="32"/>
          <w:szCs w:val="32"/>
          <w:lang w:val="en-US" w:eastAsia="zh-CN"/>
        </w:rPr>
        <w:t>遂东区自然资规﹝2022﹞19号           签发人：万海峰</w:t>
      </w:r>
    </w:p>
    <w:p>
      <w:pPr>
        <w:keepNext w:val="0"/>
        <w:keepLines w:val="0"/>
        <w:pageBreakBefore w:val="0"/>
        <w:widowControl w:val="0"/>
        <w:kinsoku/>
        <w:wordWrap/>
        <w:overflowPunct/>
        <w:topLinePunct w:val="0"/>
        <w:bidi w:val="0"/>
        <w:adjustRightInd w:val="0"/>
        <w:snapToGrid w:val="0"/>
        <w:spacing w:line="596" w:lineRule="exact"/>
        <w:jc w:val="center"/>
        <w:textAlignment w:val="auto"/>
        <w:rPr>
          <w:rFonts w:hint="eastAsia"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eastAsia="方正小标宋简体" w:cs="方正小标宋简体"/>
          <w:sz w:val="44"/>
          <w:szCs w:val="44"/>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cs="方正小标宋简体"/>
          <w:sz w:val="44"/>
          <w:szCs w:val="44"/>
          <w:shd w:val="clear" w:color="auto" w:fill="FFFFFF"/>
          <w:lang w:val="en-US" w:eastAsia="zh-CN"/>
        </w:rPr>
      </w:pPr>
      <w:r>
        <w:rPr>
          <w:rFonts w:hint="eastAsia" w:eastAsia="方正小标宋简体" w:cs="方正小标宋简体"/>
          <w:sz w:val="44"/>
          <w:szCs w:val="44"/>
          <w:shd w:val="clear" w:color="auto" w:fill="FFFFFF"/>
          <w:lang w:val="en-US" w:eastAsia="zh-CN"/>
        </w:rPr>
        <w:t>遂宁市河东新区自然资源和规划中心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rPr>
      </w:pPr>
      <w:r>
        <w:rPr>
          <w:rFonts w:hint="eastAsia" w:ascii="方正小标宋简体" w:hAnsi="方正小标宋简体" w:eastAsia="方正小标宋简体" w:cs="方正小标宋简体"/>
          <w:color w:val="auto"/>
          <w:kern w:val="2"/>
          <w:sz w:val="40"/>
          <w:szCs w:val="40"/>
          <w:lang w:eastAsia="zh-CN"/>
        </w:rPr>
        <w:t>专项预算项目支出</w:t>
      </w:r>
      <w:r>
        <w:rPr>
          <w:rFonts w:hint="eastAsia" w:ascii="方正小标宋简体" w:hAnsi="方正小标宋简体" w:eastAsia="方正小标宋简体" w:cs="方正小标宋简体"/>
          <w:color w:val="auto"/>
          <w:kern w:val="2"/>
          <w:sz w:val="40"/>
          <w:szCs w:val="40"/>
        </w:rPr>
        <w:t>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eastAsia="zh-CN"/>
        </w:rPr>
      </w:pPr>
      <w:r>
        <w:rPr>
          <w:rFonts w:hint="eastAsia" w:ascii="方正小标宋简体" w:hAnsi="方正小标宋简体" w:eastAsia="方正小标宋简体" w:cs="方正小标宋简体"/>
          <w:color w:val="auto"/>
          <w:kern w:val="2"/>
          <w:sz w:val="40"/>
          <w:szCs w:val="40"/>
          <w:lang w:eastAsia="zh-CN"/>
        </w:rPr>
        <w:t>（</w:t>
      </w:r>
      <w:r>
        <w:rPr>
          <w:rFonts w:hint="eastAsia" w:ascii="方正小标宋简体" w:hAnsi="方正小标宋简体" w:eastAsia="方正小标宋简体" w:cs="方正小标宋简体"/>
          <w:color w:val="auto"/>
          <w:kern w:val="2"/>
          <w:sz w:val="40"/>
          <w:szCs w:val="40"/>
          <w:lang w:val="en-US" w:eastAsia="zh-CN"/>
        </w:rPr>
        <w:t>土地动态巡查卫片执法</w:t>
      </w:r>
      <w:r>
        <w:rPr>
          <w:rFonts w:hint="eastAsia" w:ascii="方正小标宋简体" w:hAnsi="方正小标宋简体" w:eastAsia="方正小标宋简体" w:cs="方正小标宋简体"/>
          <w:color w:val="auto"/>
          <w:kern w:val="2"/>
          <w:sz w:val="40"/>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2"/>
          <w:sz w:val="40"/>
          <w:szCs w:val="40"/>
          <w:lang w:val="en-US" w:eastAsia="zh-CN"/>
        </w:rPr>
      </w:pP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一、</w:t>
      </w:r>
      <w:r>
        <w:rPr>
          <w:rFonts w:hint="eastAsia" w:ascii="黑体" w:hAnsi="黑体" w:eastAsia="黑体" w:cs="黑体"/>
          <w:sz w:val="32"/>
          <w:szCs w:val="32"/>
          <w:lang w:val="zh-CN"/>
        </w:rPr>
        <w:t>项目概况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（一）项目基本情况</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1．单位职能</w:t>
      </w:r>
      <w:r>
        <w:rPr>
          <w:rFonts w:hint="eastAsia" w:ascii="方正仿宋简体" w:hAnsi="方正仿宋简体" w:eastAsia="方正仿宋简体" w:cs="方正仿宋简体"/>
          <w:sz w:val="32"/>
          <w:szCs w:val="32"/>
          <w:lang w:val="zh-CN" w:eastAsia="zh-CN"/>
        </w:rPr>
        <w:t>：</w:t>
      </w:r>
      <w:r>
        <w:rPr>
          <w:rFonts w:hint="eastAsia" w:ascii="方正仿宋简体" w:hAnsi="方正仿宋简体" w:eastAsia="方正仿宋简体" w:cs="方正仿宋简体"/>
          <w:sz w:val="32"/>
          <w:szCs w:val="32"/>
          <w:lang w:val="en-US" w:eastAsia="zh-CN"/>
        </w:rPr>
        <w:t>负责辖区内自然资源违法行为巡查及执法等工作。</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2．项目立项、资金申报的依据：</w:t>
      </w:r>
      <w:r>
        <w:rPr>
          <w:rFonts w:hint="eastAsia" w:ascii="方正仿宋简体" w:hAnsi="方正仿宋简体" w:eastAsia="方正仿宋简体" w:cs="方正仿宋简体"/>
          <w:sz w:val="32"/>
          <w:szCs w:val="32"/>
          <w:lang w:val="en-US" w:eastAsia="zh-CN"/>
        </w:rPr>
        <w:t>土地执法项目作为土地管理重要环节，目前已成为常态化工作；根据自然资源部、四川省和遂宁市相关文件通知，土地卫片执法工作成为每月必须开展事项，工作内容涉及测绘、资料编制部分需委托专业机构完成。故申请土地动态巡查卫片执法项目。</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3．资金管理办法制定情况，资金支持具体项目的条件、范围与支持方式概况：</w:t>
      </w:r>
      <w:r>
        <w:rPr>
          <w:rFonts w:hint="eastAsia" w:ascii="方正仿宋简体" w:hAnsi="方正仿宋简体" w:eastAsia="方正仿宋简体" w:cs="方正仿宋简体"/>
          <w:sz w:val="32"/>
          <w:szCs w:val="32"/>
          <w:lang w:val="en-US" w:eastAsia="zh-CN"/>
        </w:rPr>
        <w:t>我单位按上级相关政策，结合本单位实际情况，严格遵守《会计法和财经纪律》，严格按照专项资金的使用范围，制定资金管理办法。严格按照项目实施进度拨付资金。</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4．资金分配的原则及考虑因素：</w:t>
      </w:r>
      <w:r>
        <w:rPr>
          <w:rFonts w:hint="eastAsia" w:ascii="方正仿宋简体" w:hAnsi="方正仿宋简体" w:eastAsia="方正仿宋简体" w:cs="方正仿宋简体"/>
          <w:sz w:val="32"/>
          <w:szCs w:val="32"/>
          <w:lang w:val="en-US" w:eastAsia="zh-CN"/>
        </w:rPr>
        <w:t>该项目资金根据项目推进进度拨付给乙方。</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（二）项目绩效目标</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方正仿宋简体" w:hAnsi="方正仿宋简体" w:eastAsia="方正仿宋简体" w:cs="方正仿宋简体"/>
          <w:sz w:val="32"/>
          <w:szCs w:val="32"/>
          <w:lang w:val="zh-CN"/>
        </w:rPr>
        <w:t>1．项目主要内容</w:t>
      </w:r>
      <w:r>
        <w:rPr>
          <w:rFonts w:hint="eastAsia" w:ascii="方正仿宋简体" w:hAnsi="方正仿宋简体" w:eastAsia="方正仿宋简体" w:cs="方正仿宋简体"/>
          <w:sz w:val="32"/>
          <w:szCs w:val="32"/>
          <w:lang w:val="en-US" w:eastAsia="zh-CN"/>
        </w:rPr>
        <w:t>:</w:t>
      </w:r>
      <w:r>
        <w:rPr>
          <w:rFonts w:hint="eastAsia" w:ascii="Times New Roman" w:hAnsi="Times New Roman" w:eastAsia="仿宋_GB2312" w:cs="Times New Roman"/>
          <w:b w:val="0"/>
          <w:color w:val="auto"/>
          <w:kern w:val="2"/>
          <w:sz w:val="32"/>
          <w:szCs w:val="32"/>
          <w:lang w:val="en-US" w:eastAsia="zh-CN" w:bidi="ar-SA"/>
        </w:rPr>
        <w:t>根据2021年季度卫片图斑结合2020年度变更调查数据成果，通过内外业判别和实地核查，区分卫片监测图斑所涉及的宗地范围并判定地块合法性，并上报在线系统。合法用地，需如实上报，并提供对应征供及其他合法批复；对于违法用地，协助查处土地违法行为，分析违法用地动态，提出了完善制度、改进管理的建议。</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eastAsia" w:ascii="Times New Roman" w:hAnsi="Times New Roman" w:eastAsia="仿宋_GB2312" w:cs="Times New Roman"/>
          <w:b w:val="0"/>
          <w:color w:val="auto"/>
          <w:kern w:val="2"/>
          <w:sz w:val="32"/>
          <w:szCs w:val="32"/>
          <w:lang w:val="zh-CN" w:eastAsia="zh-CN" w:bidi="ar-SA"/>
        </w:rPr>
      </w:pPr>
      <w:r>
        <w:rPr>
          <w:rFonts w:hint="eastAsia" w:ascii="方正仿宋简体" w:hAnsi="方正仿宋简体" w:eastAsia="方正仿宋简体" w:cs="方正仿宋简体"/>
          <w:sz w:val="32"/>
          <w:szCs w:val="32"/>
          <w:lang w:val="zh-CN"/>
        </w:rPr>
        <w:t>2.项目应实现的具体绩效目标，包括目标的量化、细化情况以及项目实施进度计划等。</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en-US" w:eastAsia="zh-CN" w:bidi="ar-SA"/>
        </w:rPr>
        <w:t>该项目绩效目标是到2021年底，通过土地动态巡查，降低土地违法比例，保护生态环境和粮食安全。</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3.因为土地卫片图斑核实工作量大，且数据上报要求高，我单位委托具有资质要求的技术单位进行实施，并按项目实际开展情况，遵循相应程序拨付资金。该项目所有申报内容与具体实施内容相符实际相符、申报目标合理可行。</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（三）项目自评步骤及方法</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首先由业务股室经办人员、财务人员共同草拟自评报告，分别报分管领导、主要领导审阅后再报送。我单位自评分数为95分。</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二、项目资金申报及使用情况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（一）项目资金申报及批复情况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该笔项目资金2021年预算申报了12.52万元，财政已批复12.52万元。</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b/>
          <w:sz w:val="32"/>
          <w:szCs w:val="32"/>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zh-CN"/>
        </w:rPr>
        <w:t>1．资金计划</w:t>
      </w:r>
      <w:r>
        <w:rPr>
          <w:rFonts w:hint="eastAsia" w:ascii="方正仿宋简体" w:hAnsi="方正仿宋简体" w:eastAsia="方正仿宋简体" w:cs="方正仿宋简体"/>
          <w:sz w:val="32"/>
          <w:szCs w:val="32"/>
          <w:lang w:val="en-US" w:eastAsia="zh-CN"/>
        </w:rPr>
        <w:t>:由市财政局批复同意我单位预算（遂财预﹝2021﹞4号）。</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资金全部及时到位。</w:t>
      </w:r>
    </w:p>
    <w:p>
      <w:pPr>
        <w:keepNext w:val="0"/>
        <w:keepLines w:val="0"/>
        <w:pageBreakBefore w:val="0"/>
        <w:numPr>
          <w:ilvl w:val="0"/>
          <w:numId w:val="1"/>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资金使用</w:t>
      </w:r>
      <w:r>
        <w:rPr>
          <w:rFonts w:hint="eastAsia" w:ascii="方正仿宋简体" w:hAnsi="方正仿宋简体" w:eastAsia="方正仿宋简体" w:cs="方正仿宋简体"/>
          <w:sz w:val="32"/>
          <w:szCs w:val="32"/>
          <w:lang w:val="en-US" w:eastAsia="zh-CN"/>
        </w:rPr>
        <w:t>:根据工作进度支付，目前已使用8.7315万元。</w:t>
      </w:r>
      <w:r>
        <w:rPr>
          <w:rFonts w:hint="eastAsia" w:ascii="方正仿宋简体" w:hAnsi="方正仿宋简体" w:eastAsia="方正仿宋简体" w:cs="方正仿宋简体"/>
          <w:sz w:val="32"/>
          <w:szCs w:val="32"/>
          <w:lang w:val="zh-CN"/>
        </w:rPr>
        <w:t>支付范围、支付</w:t>
      </w:r>
      <w:r>
        <w:rPr>
          <w:rFonts w:hint="eastAsia" w:ascii="方正仿宋简体" w:hAnsi="方正仿宋简体" w:eastAsia="方正仿宋简体" w:cs="方正仿宋简体"/>
          <w:sz w:val="32"/>
          <w:szCs w:val="32"/>
          <w:lang w:val="en-US" w:eastAsia="zh-CN"/>
        </w:rPr>
        <w:t>标</w:t>
      </w:r>
      <w:r>
        <w:rPr>
          <w:rFonts w:hint="eastAsia" w:ascii="方正仿宋简体" w:hAnsi="方正仿宋简体" w:eastAsia="方正仿宋简体" w:cs="方正仿宋简体"/>
          <w:sz w:val="32"/>
          <w:szCs w:val="32"/>
          <w:lang w:val="zh-CN"/>
        </w:rPr>
        <w:t>准、支付进度、支付依据</w:t>
      </w:r>
      <w:r>
        <w:rPr>
          <w:rFonts w:hint="eastAsia" w:ascii="方正仿宋简体" w:hAnsi="方正仿宋简体" w:eastAsia="方正仿宋简体" w:cs="方正仿宋简体"/>
          <w:sz w:val="32"/>
          <w:szCs w:val="32"/>
          <w:lang w:val="en-US" w:eastAsia="zh-CN"/>
        </w:rPr>
        <w:t>均</w:t>
      </w:r>
      <w:r>
        <w:rPr>
          <w:rFonts w:hint="eastAsia" w:ascii="方正仿宋简体" w:hAnsi="方正仿宋简体" w:eastAsia="方正仿宋简体" w:cs="方正仿宋简体"/>
          <w:sz w:val="32"/>
          <w:szCs w:val="32"/>
          <w:lang w:val="zh-CN"/>
        </w:rPr>
        <w:t>合规合法、与预算相符。</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（三）项目财务管理情况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en-US" w:eastAsia="zh-CN"/>
        </w:rPr>
        <w:t>项目经费严格按照</w:t>
      </w:r>
      <w:r>
        <w:rPr>
          <w:rFonts w:hint="eastAsia" w:ascii="方正仿宋简体" w:hAnsi="方正仿宋简体" w:eastAsia="方正仿宋简体" w:cs="方正仿宋简体"/>
          <w:sz w:val="32"/>
          <w:szCs w:val="32"/>
          <w:lang w:val="zh-CN"/>
        </w:rPr>
        <w:t>单位财务管理制度</w:t>
      </w:r>
      <w:r>
        <w:rPr>
          <w:rFonts w:hint="eastAsia" w:ascii="方正仿宋简体" w:hAnsi="方正仿宋简体" w:eastAsia="方正仿宋简体" w:cs="方正仿宋简体"/>
          <w:sz w:val="32"/>
          <w:szCs w:val="32"/>
          <w:lang w:val="en-US" w:eastAsia="zh-CN"/>
        </w:rPr>
        <w:t>进行管理</w:t>
      </w:r>
      <w:r>
        <w:rPr>
          <w:rFonts w:hint="eastAsia" w:ascii="方正仿宋简体" w:hAnsi="方正仿宋简体" w:eastAsia="方正仿宋简体" w:cs="方正仿宋简体"/>
          <w:sz w:val="32"/>
          <w:szCs w:val="32"/>
          <w:lang w:val="zh-CN"/>
        </w:rPr>
        <w:t>，</w:t>
      </w:r>
      <w:r>
        <w:rPr>
          <w:rFonts w:hint="eastAsia" w:ascii="方正仿宋简体" w:hAnsi="方正仿宋简体" w:eastAsia="方正仿宋简体" w:cs="方正仿宋简体"/>
          <w:sz w:val="32"/>
          <w:szCs w:val="32"/>
          <w:lang w:val="en-US" w:eastAsia="zh-CN"/>
        </w:rPr>
        <w:t>保证专款专用</w:t>
      </w:r>
      <w:r>
        <w:rPr>
          <w:rFonts w:hint="eastAsia" w:ascii="方正仿宋简体" w:hAnsi="方正仿宋简体" w:eastAsia="方正仿宋简体" w:cs="方正仿宋简体"/>
          <w:sz w:val="32"/>
          <w:szCs w:val="32"/>
          <w:lang w:val="zh-CN"/>
        </w:rPr>
        <w:t>，账务处理及时，会计核算规范。</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三、项目实施及管理情况</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sz w:val="32"/>
          <w:szCs w:val="32"/>
          <w:lang w:val="zh-CN"/>
        </w:rPr>
      </w:pPr>
      <w:r>
        <w:rPr>
          <w:rFonts w:hint="eastAsia" w:ascii="方正仿宋简体" w:hAnsi="方正仿宋简体" w:eastAsia="方正仿宋简体" w:cs="方正仿宋简体"/>
          <w:sz w:val="32"/>
          <w:szCs w:val="32"/>
          <w:lang w:val="zh-CN"/>
        </w:rPr>
        <w:t>结合项目组织实施管理办法，重点围绕以下内容进行分析评价，并对自评中发现的问题分析说明。</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1.根据局办公会集体决策采取比选方式确定第三方技术单位；</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2.按照协议，分阶段按程序拨付资金。</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项目管理情况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因时间紧，任务分散，我单位采取比选的方式，按照相关法律法规及项目管理制度推进相关工作。</w:t>
      </w:r>
    </w:p>
    <w:p>
      <w:pPr>
        <w:keepNext w:val="0"/>
        <w:keepLines w:val="0"/>
        <w:pageBreakBefore w:val="0"/>
        <w:numPr>
          <w:ilvl w:val="0"/>
          <w:numId w:val="2"/>
        </w:numPr>
        <w:kinsoku/>
        <w:wordWrap/>
        <w:overflowPunct/>
        <w:topLinePunct w:val="0"/>
        <w:autoSpaceDE/>
        <w:autoSpaceDN/>
        <w:bidi w:val="0"/>
        <w:adjustRightInd w:val="0"/>
        <w:snapToGrid w:val="0"/>
        <w:spacing w:line="560" w:lineRule="exact"/>
        <w:ind w:left="0" w:leftChars="0" w:firstLine="720" w:firstLineChars="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项目监管情况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我单位严格按照部省下发卫片图斑核实要求，指导技术单位进行实地现场举证和资料上报。</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lang w:val="zh-CN"/>
        </w:rPr>
      </w:pPr>
      <w:r>
        <w:rPr>
          <w:rFonts w:hint="eastAsia" w:ascii="黑体" w:hAnsi="黑体" w:eastAsia="黑体" w:cs="黑体"/>
          <w:sz w:val="32"/>
          <w:szCs w:val="32"/>
        </w:rPr>
        <w:t>四、项目绩效情况</w:t>
      </w:r>
      <w:r>
        <w:rPr>
          <w:rFonts w:hint="eastAsia" w:ascii="黑体" w:hAnsi="黑体" w:eastAsia="黑体" w:cs="黑体"/>
          <w:sz w:val="32"/>
          <w:szCs w:val="32"/>
          <w:lang w:val="zh-CN"/>
        </w:rPr>
        <w:tab/>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（一）项目完成情况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一是通过对2020年第四季度卫片执法部下发图斑110个、2021年一至三季度卫片执法部下发图斑53个，进行了全面核查。二是加大执法巡查力度，做到关口前移、重心下移，将违法行为遏制在萌芽状态，全年执法动态巡查108次，发现并制止违法用地行为16起，立案查处1起。三是有序开展“大棚房”、违建别墅“回头看”等专项清理整治行动。新区纳入大棚房另案处理项目15宗，进行了全面核查。</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（二）项目效益情况</w:t>
      </w:r>
    </w:p>
    <w:p>
      <w:pPr>
        <w:pStyle w:val="5"/>
        <w:keepNext w:val="0"/>
        <w:keepLines w:val="0"/>
        <w:pageBreakBefore w:val="0"/>
        <w:kinsoku/>
        <w:wordWrap/>
        <w:overflowPunct/>
        <w:topLinePunct w:val="0"/>
        <w:bidi w:val="0"/>
        <w:adjustRightInd w:val="0"/>
        <w:snapToGrid w:val="0"/>
        <w:spacing w:line="560" w:lineRule="exact"/>
        <w:ind w:firstLine="640" w:firstLineChars="200"/>
        <w:jc w:val="both"/>
        <w:textAlignment w:val="auto"/>
        <w:rPr>
          <w:rFonts w:hint="eastAsia" w:ascii="Times New Roman" w:hAnsi="Times New Roman" w:eastAsia="仿宋_GB2312" w:cs="Times New Roman"/>
          <w:b w:val="0"/>
          <w:color w:val="auto"/>
          <w:kern w:val="2"/>
          <w:sz w:val="32"/>
          <w:szCs w:val="32"/>
          <w:lang w:val="zh-CN" w:eastAsia="zh-CN" w:bidi="ar-SA"/>
        </w:rPr>
      </w:pPr>
      <w:r>
        <w:rPr>
          <w:rFonts w:hint="eastAsia" w:ascii="Times New Roman" w:hAnsi="Times New Roman" w:eastAsia="仿宋_GB2312" w:cs="Times New Roman"/>
          <w:b w:val="0"/>
          <w:color w:val="auto"/>
          <w:kern w:val="2"/>
          <w:sz w:val="32"/>
          <w:szCs w:val="32"/>
          <w:lang w:val="zh-CN" w:eastAsia="zh-CN" w:bidi="ar-SA"/>
        </w:rPr>
        <w:t>从项目经济效益、社会效益、生态效益、可持续效益以及服务对象满意度等方面对项目效益进行全面分析评价。</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通过</w:t>
      </w:r>
      <w:r>
        <w:rPr>
          <w:rFonts w:hint="default" w:ascii="Times New Roman" w:hAnsi="Times New Roman" w:eastAsia="仿宋_GB2312" w:cs="Times New Roman"/>
          <w:b w:val="0"/>
          <w:color w:val="auto"/>
          <w:kern w:val="2"/>
          <w:sz w:val="32"/>
          <w:szCs w:val="32"/>
          <w:lang w:val="en-US" w:eastAsia="zh-CN" w:bidi="ar-SA"/>
        </w:rPr>
        <w:t>开展探索以国土空间地理信息平台为依托，融合运用大数据、云计算、人工智能等技术，对现状、规划、批征供、卫片、基本农田等实施一体化高效分析，探索推动以“无人机+图形处理站”位战体的预警巡查智能化，高效准确地发现违建问题</w:t>
      </w:r>
      <w:r>
        <w:rPr>
          <w:rFonts w:hint="eastAsia" w:ascii="Times New Roman" w:hAnsi="Times New Roman" w:eastAsia="仿宋_GB2312" w:cs="Times New Roman"/>
          <w:b w:val="0"/>
          <w:color w:val="auto"/>
          <w:kern w:val="2"/>
          <w:sz w:val="32"/>
          <w:szCs w:val="32"/>
          <w:lang w:val="en-US" w:eastAsia="zh-CN" w:bidi="ar-SA"/>
        </w:rPr>
        <w:t>，降低了新区土地违法比例。</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黑体" w:hAnsi="黑体" w:eastAsia="黑体" w:cs="黑体"/>
          <w:sz w:val="32"/>
          <w:szCs w:val="32"/>
        </w:rPr>
      </w:pPr>
      <w:r>
        <w:rPr>
          <w:rFonts w:hint="eastAsia" w:ascii="黑体" w:hAnsi="黑体" w:eastAsia="黑体" w:cs="黑体"/>
          <w:sz w:val="32"/>
          <w:szCs w:val="32"/>
        </w:rPr>
        <w:t>五、评价结论及建议</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（一）评价结论</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60" w:lineRule="exact"/>
        <w:ind w:firstLine="640" w:firstLineChars="200"/>
        <w:jc w:val="left"/>
        <w:textAlignment w:val="auto"/>
        <w:outlineLvl w:val="9"/>
        <w:rPr>
          <w:rFonts w:hint="default" w:ascii="Times New Roman" w:hAnsi="Times New Roman" w:eastAsia="仿宋_GB2312" w:cs="Times New Roman"/>
          <w:b w:val="0"/>
          <w:color w:val="auto"/>
          <w:kern w:val="2"/>
          <w:sz w:val="32"/>
          <w:szCs w:val="32"/>
          <w:lang w:val="en-US" w:eastAsia="zh-CN" w:bidi="ar-SA"/>
        </w:rPr>
      </w:pPr>
      <w:r>
        <w:rPr>
          <w:rFonts w:hint="eastAsia" w:ascii="Times New Roman" w:hAnsi="Times New Roman" w:eastAsia="仿宋_GB2312" w:cs="Times New Roman"/>
          <w:b w:val="0"/>
          <w:color w:val="auto"/>
          <w:kern w:val="2"/>
          <w:sz w:val="32"/>
          <w:szCs w:val="32"/>
          <w:lang w:val="en-US" w:eastAsia="zh-CN" w:bidi="ar-SA"/>
        </w:rPr>
        <w:t>满足了当前自然资源管理工作的需要，提高了全民合法用地法律意识，降低了土地违法比例，生态环境和粮食安全得以保护。</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（二）存在的问题</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zh-CN" w:eastAsia="zh-CN"/>
        </w:rPr>
      </w:pPr>
      <w:r>
        <w:rPr>
          <w:rFonts w:hint="eastAsia" w:ascii="方正仿宋简体" w:hAnsi="方正仿宋简体" w:eastAsia="方正仿宋简体" w:cs="方正仿宋简体"/>
          <w:sz w:val="32"/>
          <w:szCs w:val="32"/>
          <w:lang w:val="zh-CN" w:eastAsia="zh-CN"/>
        </w:rPr>
        <w:tab/>
      </w:r>
      <w:r>
        <w:rPr>
          <w:rFonts w:hint="eastAsia" w:ascii="方正仿宋简体" w:hAnsi="方正仿宋简体" w:eastAsia="方正仿宋简体" w:cs="方正仿宋简体"/>
          <w:sz w:val="32"/>
          <w:szCs w:val="32"/>
          <w:lang w:val="en-US" w:eastAsia="zh-CN"/>
        </w:rPr>
        <w:t>因该项目持续时间较长，且涉及人员分散，直接投入使用后，所产生的经济效益及社会效益不可估量。</w:t>
      </w:r>
    </w:p>
    <w:p>
      <w:pPr>
        <w:keepNext w:val="0"/>
        <w:keepLines w:val="0"/>
        <w:pageBreakBefore w:val="0"/>
        <w:kinsoku/>
        <w:wordWrap/>
        <w:overflowPunct/>
        <w:topLinePunct w:val="0"/>
        <w:autoSpaceDE/>
        <w:autoSpaceDN/>
        <w:bidi w:val="0"/>
        <w:adjustRightInd w:val="0"/>
        <w:snapToGrid w:val="0"/>
        <w:spacing w:line="560" w:lineRule="exact"/>
        <w:ind w:firstLine="720"/>
        <w:textAlignment w:val="auto"/>
        <w:rPr>
          <w:rFonts w:hint="eastAsia" w:ascii="方正仿宋简体" w:hAnsi="方正仿宋简体" w:eastAsia="方正仿宋简体" w:cs="方正仿宋简体"/>
          <w:b/>
          <w:sz w:val="32"/>
          <w:szCs w:val="32"/>
          <w:lang w:val="zh-CN"/>
        </w:rPr>
      </w:pPr>
      <w:r>
        <w:rPr>
          <w:rFonts w:hint="eastAsia" w:ascii="方正仿宋简体" w:hAnsi="方正仿宋简体" w:eastAsia="方正仿宋简体" w:cs="方正仿宋简体"/>
          <w:b/>
          <w:sz w:val="32"/>
          <w:szCs w:val="32"/>
          <w:lang w:val="zh-CN"/>
        </w:rPr>
        <w:t>（三）相关建议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1.加强与项目前期有关股室的沟通与协调工作，进一步完善、制定相关的管理制度，为项目落地提供强有力保障。</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2.加强项目开始实施后的管控，强化与各部门对接，及时反馈项目成果所带来的效益。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简体" w:hAnsi="方正仿宋简体" w:eastAsia="方正仿宋简体" w:cs="方正仿宋简体"/>
          <w:color w:val="auto"/>
          <w:kern w:val="2"/>
          <w:sz w:val="32"/>
          <w:szCs w:val="32"/>
          <w:lang w:val="en-US" w:eastAsia="zh-CN"/>
        </w:rPr>
      </w:pPr>
    </w:p>
    <w:p>
      <w:pPr>
        <w:pStyle w:val="5"/>
        <w:keepNext w:val="0"/>
        <w:keepLines w:val="0"/>
        <w:pageBreakBefore w:val="0"/>
        <w:kinsoku/>
        <w:wordWrap/>
        <w:overflowPunct/>
        <w:topLinePunct w:val="0"/>
        <w:bidi w:val="0"/>
        <w:spacing w:line="560" w:lineRule="exact"/>
        <w:textAlignment w:val="auto"/>
        <w:rPr>
          <w:rFonts w:hint="eastAsia"/>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default" w:ascii="Times New Roman" w:hAnsi="Times New Roman" w:eastAsia="仿宋_GB2312" w:cs="仿宋_GB2312"/>
          <w:color w:val="000000"/>
          <w:kern w:val="0"/>
          <w:sz w:val="32"/>
          <w:szCs w:val="24"/>
          <w:shd w:val="clear" w:color="auto" w:fill="FFFFFF"/>
          <w:lang w:val="en-US" w:eastAsia="zh-CN" w:bidi="ar-SA"/>
        </w:rPr>
      </w:pPr>
      <w:r>
        <w:rPr>
          <w:rFonts w:hint="eastAsia" w:ascii="Times New Roman" w:hAnsi="Times New Roman" w:eastAsia="仿宋_GB2312" w:cs="仿宋_GB2312"/>
          <w:color w:val="000000"/>
          <w:kern w:val="0"/>
          <w:sz w:val="32"/>
          <w:szCs w:val="24"/>
          <w:shd w:val="clear" w:color="auto" w:fill="FFFFFF"/>
          <w:lang w:val="en-US" w:eastAsia="zh-CN" w:bidi="ar-SA"/>
        </w:rPr>
        <w:t>遂宁市河东新区</w:t>
      </w:r>
      <w:r>
        <w:rPr>
          <w:rFonts w:hint="eastAsia" w:eastAsia="仿宋_GB2312" w:cs="仿宋_GB2312"/>
          <w:color w:val="000000"/>
          <w:kern w:val="0"/>
          <w:sz w:val="32"/>
          <w:szCs w:val="24"/>
          <w:shd w:val="clear" w:color="auto" w:fill="FFFFFF"/>
          <w:lang w:val="en-US" w:eastAsia="zh-CN" w:bidi="ar-SA"/>
        </w:rPr>
        <w:t>自然资源和规划中心</w:t>
      </w:r>
    </w:p>
    <w:p>
      <w:pPr>
        <w:keepNext w:val="0"/>
        <w:keepLines w:val="0"/>
        <w:pageBreakBefore w:val="0"/>
        <w:widowControl/>
        <w:kinsoku/>
        <w:wordWrap/>
        <w:overflowPunct/>
        <w:topLinePunct w:val="0"/>
        <w:bidi w:val="0"/>
        <w:adjustRightInd w:val="0"/>
        <w:snapToGrid w:val="0"/>
        <w:spacing w:line="560" w:lineRule="exact"/>
        <w:ind w:firstLine="640" w:firstLineChars="200"/>
        <w:contextualSpacing/>
        <w:jc w:val="left"/>
        <w:textAlignment w:val="auto"/>
        <w:rPr>
          <w:rFonts w:ascii="仿宋_GB2312" w:hAnsi="宋体" w:cs="宋体"/>
          <w:color w:val="000000"/>
          <w:kern w:val="0"/>
          <w:szCs w:val="32"/>
          <w:shd w:val="clear" w:color="auto" w:fill="FFFFFF"/>
          <w:lang w:val="zh-CN"/>
        </w:rPr>
      </w:pPr>
      <w:r>
        <w:rPr>
          <w:rFonts w:hint="eastAsia" w:ascii="Times New Roman" w:hAnsi="Times New Roman" w:eastAsia="仿宋_GB2312" w:cs="仿宋_GB2312"/>
          <w:color w:val="000000"/>
          <w:kern w:val="0"/>
          <w:sz w:val="32"/>
          <w:szCs w:val="24"/>
          <w:shd w:val="clear" w:color="auto" w:fill="FFFFFF"/>
          <w:lang w:val="en-US" w:eastAsia="zh-CN" w:bidi="ar-SA"/>
        </w:rPr>
        <w:t xml:space="preserve">                      </w:t>
      </w:r>
      <w:r>
        <w:rPr>
          <w:rFonts w:hint="eastAsia" w:ascii="Times New Roman" w:hAnsi="Times New Roman" w:cs="仿宋_GB2312"/>
          <w:color w:val="000000"/>
          <w:kern w:val="0"/>
          <w:sz w:val="32"/>
          <w:szCs w:val="24"/>
          <w:shd w:val="clear" w:color="auto" w:fill="FFFFFF"/>
          <w:lang w:val="en-US" w:eastAsia="zh-CN" w:bidi="ar-SA"/>
        </w:rPr>
        <w:t xml:space="preserve">     </w:t>
      </w:r>
      <w:r>
        <w:rPr>
          <w:rFonts w:hint="eastAsia" w:ascii="Times New Roman" w:hAnsi="Times New Roman" w:eastAsia="仿宋_GB2312" w:cs="仿宋_GB2312"/>
          <w:color w:val="000000"/>
          <w:kern w:val="0"/>
          <w:sz w:val="32"/>
          <w:szCs w:val="24"/>
          <w:shd w:val="clear" w:color="auto" w:fill="FFFFFF"/>
          <w:lang w:val="en-US" w:eastAsia="zh-CN" w:bidi="ar-SA"/>
        </w:rPr>
        <w:t>202</w:t>
      </w:r>
      <w:r>
        <w:rPr>
          <w:rFonts w:hint="eastAsia" w:ascii="Times New Roman" w:hAnsi="Times New Roman" w:cs="仿宋_GB2312"/>
          <w:color w:val="000000"/>
          <w:kern w:val="0"/>
          <w:sz w:val="32"/>
          <w:szCs w:val="24"/>
          <w:shd w:val="clear" w:color="auto" w:fill="FFFFFF"/>
          <w:lang w:val="en-US" w:eastAsia="zh-CN" w:bidi="ar-SA"/>
        </w:rPr>
        <w:t>2</w:t>
      </w:r>
      <w:r>
        <w:rPr>
          <w:rFonts w:hint="eastAsia" w:ascii="Times New Roman" w:hAnsi="Times New Roman" w:eastAsia="仿宋_GB2312" w:cs="仿宋_GB2312"/>
          <w:color w:val="000000"/>
          <w:kern w:val="0"/>
          <w:sz w:val="32"/>
          <w:szCs w:val="24"/>
          <w:shd w:val="clear" w:color="auto" w:fill="FFFFFF"/>
          <w:lang w:val="en-US" w:eastAsia="zh-CN" w:bidi="ar-SA"/>
        </w:rPr>
        <w:t>年</w:t>
      </w:r>
      <w:r>
        <w:rPr>
          <w:rFonts w:hint="eastAsia" w:ascii="Times New Roman" w:hAnsi="Times New Roman" w:cs="仿宋_GB2312"/>
          <w:color w:val="000000"/>
          <w:kern w:val="0"/>
          <w:sz w:val="32"/>
          <w:szCs w:val="24"/>
          <w:shd w:val="clear" w:color="auto" w:fill="FFFFFF"/>
          <w:lang w:val="en-US" w:eastAsia="zh-CN" w:bidi="ar-SA"/>
        </w:rPr>
        <w:t>3</w:t>
      </w:r>
      <w:r>
        <w:rPr>
          <w:rFonts w:hint="eastAsia" w:ascii="Times New Roman" w:hAnsi="Times New Roman" w:eastAsia="仿宋_GB2312" w:cs="仿宋_GB2312"/>
          <w:color w:val="000000"/>
          <w:kern w:val="0"/>
          <w:sz w:val="32"/>
          <w:szCs w:val="24"/>
          <w:shd w:val="clear" w:color="auto" w:fill="FFFFFF"/>
          <w:lang w:val="en-US" w:eastAsia="zh-CN" w:bidi="ar-SA"/>
        </w:rPr>
        <w:t>月</w:t>
      </w:r>
      <w:r>
        <w:rPr>
          <w:rFonts w:hint="eastAsia" w:ascii="Times New Roman" w:hAnsi="Times New Roman" w:cs="仿宋_GB2312"/>
          <w:color w:val="000000"/>
          <w:kern w:val="0"/>
          <w:sz w:val="32"/>
          <w:szCs w:val="24"/>
          <w:shd w:val="clear" w:color="auto" w:fill="FFFFFF"/>
          <w:lang w:val="en-US" w:eastAsia="zh-CN" w:bidi="ar-SA"/>
        </w:rPr>
        <w:t>16</w:t>
      </w:r>
      <w:r>
        <w:rPr>
          <w:rFonts w:hint="eastAsia" w:ascii="Times New Roman" w:hAnsi="Times New Roman" w:eastAsia="仿宋_GB2312" w:cs="仿宋_GB2312"/>
          <w:color w:val="000000"/>
          <w:kern w:val="0"/>
          <w:sz w:val="32"/>
          <w:szCs w:val="24"/>
          <w:shd w:val="clear" w:color="auto" w:fill="FFFFFF"/>
          <w:lang w:val="en-US" w:eastAsia="zh-CN" w:bidi="ar-SA"/>
        </w:rPr>
        <w:t>日</w:t>
      </w:r>
    </w:p>
    <w:p>
      <w:pPr>
        <w:pStyle w:val="5"/>
        <w:keepNext w:val="0"/>
        <w:keepLines w:val="0"/>
        <w:pageBreakBefore w:val="0"/>
        <w:kinsoku/>
        <w:wordWrap/>
        <w:overflowPunct/>
        <w:topLinePunct w:val="0"/>
        <w:bidi w:val="0"/>
        <w:spacing w:line="560" w:lineRule="exact"/>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5C353E-F891-4B64-A042-236815B5E99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ABCBC1F9-982D-4C1F-BA9A-2187D3A3BBFF}"/>
  </w:font>
  <w:font w:name="方正仿宋简体">
    <w:panose1 w:val="03000509000000000000"/>
    <w:charset w:val="86"/>
    <w:family w:val="auto"/>
    <w:pitch w:val="default"/>
    <w:sig w:usb0="00000001" w:usb1="080E0000" w:usb2="00000000" w:usb3="00000000" w:csb0="00040000" w:csb1="00000000"/>
    <w:embedRegular r:id="rId3" w:fontKey="{A7DF500F-16F3-46ED-8640-E42280372057}"/>
  </w:font>
  <w:font w:name="方正小标宋简体">
    <w:panose1 w:val="03000509000000000000"/>
    <w:charset w:val="86"/>
    <w:family w:val="auto"/>
    <w:pitch w:val="default"/>
    <w:sig w:usb0="00000001" w:usb1="080E0000" w:usb2="00000000" w:usb3="00000000" w:csb0="00040000" w:csb1="00000000"/>
    <w:embedRegular r:id="rId4" w:fontKey="{05A69731-086D-42D4-9B66-F6E035038F2A}"/>
  </w:font>
  <w:font w:name="仿宋_GB2312">
    <w:altName w:val="仿宋"/>
    <w:panose1 w:val="02010609030101010101"/>
    <w:charset w:val="86"/>
    <w:family w:val="modern"/>
    <w:pitch w:val="default"/>
    <w:sig w:usb0="00000000" w:usb1="00000000" w:usb2="00000010" w:usb3="00000000" w:csb0="00040000" w:csb1="00000000"/>
    <w:embedRegular r:id="rId5" w:fontKey="{6207D775-E2B0-4C06-9D12-E3333935C287}"/>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48908"/>
    <w:multiLevelType w:val="singleLevel"/>
    <w:tmpl w:val="C2D48908"/>
    <w:lvl w:ilvl="0" w:tentative="0">
      <w:start w:val="2"/>
      <w:numFmt w:val="decimal"/>
      <w:suff w:val="nothing"/>
      <w:lvlText w:val="%1．"/>
      <w:lvlJc w:val="left"/>
    </w:lvl>
  </w:abstractNum>
  <w:abstractNum w:abstractNumId="1">
    <w:nsid w:val="C5403BA3"/>
    <w:multiLevelType w:val="singleLevel"/>
    <w:tmpl w:val="C5403BA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9B00FE"/>
    <w:rsid w:val="08922D37"/>
    <w:rsid w:val="08D51A10"/>
    <w:rsid w:val="0DD72D48"/>
    <w:rsid w:val="109C4794"/>
    <w:rsid w:val="11602389"/>
    <w:rsid w:val="183177CD"/>
    <w:rsid w:val="1ACA1717"/>
    <w:rsid w:val="1E461123"/>
    <w:rsid w:val="1FDE332A"/>
    <w:rsid w:val="2F0C122D"/>
    <w:rsid w:val="31723ACB"/>
    <w:rsid w:val="37D6209A"/>
    <w:rsid w:val="38E466A3"/>
    <w:rsid w:val="4724783B"/>
    <w:rsid w:val="4D5052FE"/>
    <w:rsid w:val="509915F4"/>
    <w:rsid w:val="525A226E"/>
    <w:rsid w:val="559B00FE"/>
    <w:rsid w:val="58444803"/>
    <w:rsid w:val="60AE04C5"/>
    <w:rsid w:val="6EE762BE"/>
    <w:rsid w:val="7E737F0D"/>
    <w:rsid w:val="7ED91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before="29"/>
      <w:ind w:left="220"/>
      <w:jc w:val="left"/>
    </w:pPr>
    <w:rPr>
      <w:rFonts w:ascii="宋体" w:hAnsi="宋体" w:eastAsia="宋体"/>
      <w:kern w:val="0"/>
      <w:sz w:val="24"/>
      <w:lang w:eastAsia="en-US"/>
    </w:rPr>
  </w:style>
  <w:style w:type="paragraph" w:customStyle="1" w:styleId="5">
    <w:name w:val="Default"/>
    <w:basedOn w:val="1"/>
    <w:next w:val="1"/>
    <w:qFormat/>
    <w:uiPriority w:val="0"/>
    <w:pPr>
      <w:autoSpaceDE w:val="0"/>
      <w:autoSpaceDN w:val="0"/>
      <w:jc w:val="left"/>
    </w:pPr>
    <w:rPr>
      <w:rFonts w:ascii="Calibri" w:hAnsi="Calibri" w:cs="宋体"/>
      <w:color w:val="000000"/>
      <w:sz w:val="24"/>
    </w:rPr>
  </w:style>
  <w:style w:type="paragraph" w:customStyle="1" w:styleId="6">
    <w:name w:val="常用样式（方正仿宋简）"/>
    <w:basedOn w:val="1"/>
    <w:qFormat/>
    <w:uiPriority w:val="0"/>
    <w:pPr>
      <w:spacing w:line="560" w:lineRule="exact"/>
      <w:ind w:firstLine="640" w:firstLineChars="200"/>
    </w:pPr>
    <w:rPr>
      <w:rFonts w:ascii="Times New Roman" w:hAnsi="Times New Roman" w:eastAsia="方正仿宋简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2021-07-11T09:59:00Z</dcterms:created>
  <dc:creator>Ling</dc:creator>
  <cp:lastModifiedBy>Ling</cp:lastModifiedBy>
  <cp:lastPrinted>2022-03-16T04:36:57Z</cp:lastPrinted>
  <dcterms:modified xsi:type="dcterms:W3CDTF">2022-03-16T04:42:15Z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F3A4A5A8521D49FCA12AFED4CEA4457B</vt:lpwstr>
  </property>
  <property fmtid="{D5CDD505-2E9C-101B-9397-08002B2CF9AE}" pid="4" name="KSOSaveFontToCloudKey">
    <vt:lpwstr>549274435_btnclosed</vt:lpwstr>
  </property>
</Properties>
</file>