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遂宁经济技术开发区自然资源和规划</w:t>
      </w:r>
      <w:bookmarkStart w:id="0" w:name="_GoBack"/>
      <w:r>
        <w:rPr>
          <w:rFonts w:hint="eastAsia" w:ascii="方正小标宋简体" w:hAnsi="宋体" w:eastAsia="方正小标宋简体"/>
          <w:color w:val="auto"/>
          <w:kern w:val="0"/>
          <w:sz w:val="40"/>
          <w:szCs w:val="44"/>
          <w:highlight w:val="none"/>
          <w:lang w:eastAsia="zh-CN"/>
        </w:rPr>
        <w:t>中心</w:t>
      </w:r>
      <w:r>
        <w:rPr>
          <w:rFonts w:hint="eastAsia" w:ascii="方正小标宋简体" w:hAnsi="宋体" w:eastAsia="方正小标宋简体"/>
          <w:color w:val="auto"/>
          <w:kern w:val="0"/>
          <w:sz w:val="40"/>
          <w:szCs w:val="44"/>
          <w:highlight w:val="none"/>
        </w:rPr>
        <w:t>部门整体绩效评价报告</w:t>
      </w:r>
    </w:p>
    <w:bookmarkEnd w:id="0"/>
    <w:p>
      <w:pPr>
        <w:keepNext w:val="0"/>
        <w:keepLines w:val="0"/>
        <w:pageBreakBefore w:val="0"/>
        <w:widowControl/>
        <w:kinsoku/>
        <w:wordWrap/>
        <w:overflowPunct/>
        <w:topLinePunct w:val="0"/>
        <w:autoSpaceDE/>
        <w:autoSpaceDN/>
        <w:bidi w:val="0"/>
        <w:spacing w:line="572" w:lineRule="exact"/>
        <w:ind w:firstLine="640" w:firstLineChars="200"/>
        <w:contextualSpacing/>
        <w:jc w:val="center"/>
        <w:textAlignment w:val="auto"/>
        <w:rPr>
          <w:rFonts w:ascii="仿宋_GB2312" w:hAnsi="宋体" w:eastAsia="仿宋_GB2312"/>
          <w:color w:val="auto"/>
          <w:sz w:val="32"/>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p>
    <w:p>
      <w:pPr>
        <w:widowControl/>
        <w:adjustRightInd w:val="0"/>
        <w:snapToGrid w:val="0"/>
        <w:spacing w:line="580" w:lineRule="exact"/>
        <w:ind w:firstLine="620" w:firstLineChars="200"/>
        <w:contextualSpacing/>
        <w:jc w:val="left"/>
        <w:rPr>
          <w:rFonts w:hint="eastAsia" w:ascii="仿宋_GB2312" w:hAnsi="微软雅黑" w:eastAsia="仿宋_GB2312" w:cs="仿宋_GB2312"/>
          <w:i w:val="0"/>
          <w:caps w:val="0"/>
          <w:color w:val="000000"/>
          <w:spacing w:val="0"/>
          <w:kern w:val="0"/>
          <w:sz w:val="31"/>
          <w:szCs w:val="31"/>
          <w:shd w:val="clear" w:fill="FFFFFF"/>
          <w:lang w:val="en-US" w:eastAsia="zh-CN" w:bidi="ar"/>
        </w:rPr>
      </w:pPr>
      <w:r>
        <w:rPr>
          <w:rFonts w:hint="eastAsia" w:ascii="仿宋_GB2312" w:hAnsi="微软雅黑" w:eastAsia="仿宋_GB2312" w:cs="仿宋_GB2312"/>
          <w:i w:val="0"/>
          <w:caps w:val="0"/>
          <w:color w:val="000000"/>
          <w:spacing w:val="0"/>
          <w:kern w:val="0"/>
          <w:sz w:val="31"/>
          <w:szCs w:val="31"/>
          <w:shd w:val="clear" w:fill="FFFFFF"/>
          <w:lang w:val="zh-CN" w:eastAsia="zh-CN" w:bidi="ar"/>
        </w:rPr>
        <w:t>（一）机构组成。</w:t>
      </w:r>
    </w:p>
    <w:p>
      <w:pPr>
        <w:pStyle w:val="6"/>
        <w:spacing w:line="600" w:lineRule="exact"/>
        <w:ind w:firstLine="632"/>
        <w:rPr>
          <w:rFonts w:hint="eastAsia" w:ascii="仿宋_GB2312" w:hAnsi="宋体" w:cs="宋体"/>
          <w:color w:val="000000"/>
          <w:kern w:val="0"/>
          <w:szCs w:val="32"/>
          <w:shd w:val="clear" w:color="auto" w:fill="FFFFFF"/>
          <w:lang w:val="zh-CN"/>
        </w:rPr>
      </w:pPr>
      <w:r>
        <w:rPr>
          <w:rFonts w:hint="eastAsia" w:ascii="仿宋_GB2312" w:hAnsi="微软雅黑" w:eastAsia="仿宋_GB2312" w:cs="仿宋_GB2312"/>
          <w:i w:val="0"/>
          <w:caps w:val="0"/>
          <w:color w:val="000000"/>
          <w:spacing w:val="0"/>
          <w:kern w:val="0"/>
          <w:sz w:val="31"/>
          <w:szCs w:val="31"/>
          <w:shd w:val="clear" w:fill="FFFFFF"/>
          <w:lang w:val="en-US" w:eastAsia="zh-CN" w:bidi="ar"/>
        </w:rPr>
        <w:t>遂宁经济技术开发区自然资源和规划中心包括综合办公室、国土空间规划和用途管制股、建设工程规划管理股、自然资源开发利用与确权登记股、林业资源管理股、地质地矿和森林防火股、耕地保护和生态修复股、政策法规监察和信访股。</w:t>
      </w:r>
    </w:p>
    <w:p>
      <w:pPr>
        <w:widowControl/>
        <w:adjustRightInd w:val="0"/>
        <w:snapToGrid w:val="0"/>
        <w:spacing w:line="580" w:lineRule="exact"/>
        <w:ind w:firstLine="620" w:firstLineChars="200"/>
        <w:contextualSpacing/>
        <w:jc w:val="left"/>
        <w:rPr>
          <w:rFonts w:hint="eastAsia" w:ascii="仿宋_GB2312" w:hAnsi="微软雅黑" w:eastAsia="仿宋_GB2312" w:cs="仿宋_GB2312"/>
          <w:i w:val="0"/>
          <w:caps w:val="0"/>
          <w:color w:val="000000"/>
          <w:spacing w:val="0"/>
          <w:kern w:val="0"/>
          <w:sz w:val="31"/>
          <w:szCs w:val="31"/>
          <w:shd w:val="clear" w:fill="FFFFFF"/>
          <w:lang w:val="zh-CN" w:eastAsia="zh-CN" w:bidi="ar"/>
        </w:rPr>
      </w:pPr>
      <w:r>
        <w:rPr>
          <w:rFonts w:hint="eastAsia" w:ascii="仿宋_GB2312" w:hAnsi="微软雅黑" w:eastAsia="仿宋_GB2312" w:cs="仿宋_GB2312"/>
          <w:i w:val="0"/>
          <w:caps w:val="0"/>
          <w:color w:val="000000"/>
          <w:spacing w:val="0"/>
          <w:kern w:val="0"/>
          <w:sz w:val="31"/>
          <w:szCs w:val="31"/>
          <w:shd w:val="clear" w:fill="FFFFFF"/>
          <w:lang w:val="zh-CN" w:eastAsia="zh-CN" w:bidi="ar"/>
        </w:rPr>
        <w:t>（二）机构职能。</w:t>
      </w:r>
    </w:p>
    <w:p>
      <w:pPr>
        <w:pStyle w:val="3"/>
        <w:keepNext w:val="0"/>
        <w:keepLines w:val="0"/>
        <w:widowControl/>
        <w:suppressLineNumbers w:val="0"/>
        <w:shd w:val="clear" w:fill="FFFFFF"/>
        <w:spacing w:before="0" w:beforeAutospacing="0" w:after="150" w:afterAutospacing="0" w:line="600" w:lineRule="atLeast"/>
        <w:ind w:left="0" w:right="0" w:firstLine="630"/>
        <w:rPr>
          <w:rFonts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1.</w:t>
      </w:r>
      <w:r>
        <w:rPr>
          <w:rFonts w:ascii="仿宋_GB2312" w:hAnsi="微软雅黑" w:eastAsia="仿宋_GB2312" w:cs="仿宋_GB2312"/>
          <w:i w:val="0"/>
          <w:caps w:val="0"/>
          <w:color w:val="000000"/>
          <w:spacing w:val="0"/>
          <w:sz w:val="31"/>
          <w:szCs w:val="31"/>
          <w:shd w:val="clear" w:fill="FFFFFF"/>
        </w:rPr>
        <w:t>按照规定权限，履行全民所有土地、矿产、森林、湿地、水等自然资源资产所有者职责和所有国土空间用途管制职责；负责全区自然资源和国土空间规划、城乡规划及测绘等相关法律法规贯彻执行。</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2.</w:t>
      </w:r>
      <w:r>
        <w:rPr>
          <w:rFonts w:hint="eastAsia" w:ascii="仿宋_GB2312" w:hAnsi="微软雅黑" w:eastAsia="仿宋_GB2312" w:cs="仿宋_GB2312"/>
          <w:i w:val="0"/>
          <w:caps w:val="0"/>
          <w:color w:val="000000"/>
          <w:spacing w:val="0"/>
          <w:sz w:val="31"/>
          <w:szCs w:val="31"/>
          <w:shd w:val="clear" w:fill="FFFFFF"/>
        </w:rPr>
        <w:t>负责全区自然资源调查监测评价、统一确权登记、有偿使用以及合理开发利用工作。</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3.</w:t>
      </w:r>
      <w:r>
        <w:rPr>
          <w:rFonts w:hint="eastAsia" w:ascii="仿宋_GB2312" w:hAnsi="微软雅黑" w:eastAsia="仿宋_GB2312" w:cs="仿宋_GB2312"/>
          <w:i w:val="0"/>
          <w:caps w:val="0"/>
          <w:color w:val="000000"/>
          <w:spacing w:val="0"/>
          <w:sz w:val="31"/>
          <w:szCs w:val="31"/>
          <w:shd w:val="clear" w:fill="FFFFFF"/>
        </w:rPr>
        <w:t>负责建立全区空间规划体系并监督实施；推进主体功能区战略和制度建设，参与编制、报批并监督实施国土空间规划和相关专项规划，统筹衔接其他种类专项规划。</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4.</w:t>
      </w:r>
      <w:r>
        <w:rPr>
          <w:rFonts w:hint="eastAsia" w:ascii="仿宋_GB2312" w:hAnsi="微软雅黑" w:eastAsia="仿宋_GB2312" w:cs="仿宋_GB2312"/>
          <w:i w:val="0"/>
          <w:caps w:val="0"/>
          <w:color w:val="000000"/>
          <w:spacing w:val="0"/>
          <w:sz w:val="31"/>
          <w:szCs w:val="31"/>
          <w:shd w:val="clear" w:fill="FFFFFF"/>
        </w:rPr>
        <w:t>按职责权限负责区内控制性详细规划维护、园区重点片区城市设计、重要景观带（公园）、重要公共建筑、重大市政项目等方案设计的组织编制。</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5.</w:t>
      </w:r>
      <w:r>
        <w:rPr>
          <w:rFonts w:hint="eastAsia" w:ascii="仿宋_GB2312" w:hAnsi="微软雅黑" w:eastAsia="仿宋_GB2312" w:cs="仿宋_GB2312"/>
          <w:i w:val="0"/>
          <w:caps w:val="0"/>
          <w:color w:val="000000"/>
          <w:spacing w:val="0"/>
          <w:sz w:val="31"/>
          <w:szCs w:val="31"/>
          <w:shd w:val="clear" w:fill="FFFFFF"/>
        </w:rPr>
        <w:t>负责国土空间生态修复、实施耕地保护工作。</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6.</w:t>
      </w:r>
      <w:r>
        <w:rPr>
          <w:rFonts w:hint="eastAsia" w:ascii="仿宋_GB2312" w:hAnsi="微软雅黑" w:eastAsia="仿宋_GB2312" w:cs="仿宋_GB2312"/>
          <w:i w:val="0"/>
          <w:caps w:val="0"/>
          <w:color w:val="000000"/>
          <w:spacing w:val="0"/>
          <w:sz w:val="31"/>
          <w:szCs w:val="31"/>
          <w:shd w:val="clear" w:fill="FFFFFF"/>
        </w:rPr>
        <w:t>负责地质勘查行业和地质工作；组织实施全区地质调查和矿产资源勘查，管理区本级地质勘查项目。</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7.</w:t>
      </w:r>
      <w:r>
        <w:rPr>
          <w:rFonts w:hint="eastAsia" w:ascii="仿宋_GB2312" w:hAnsi="微软雅黑" w:eastAsia="仿宋_GB2312" w:cs="仿宋_GB2312"/>
          <w:i w:val="0"/>
          <w:caps w:val="0"/>
          <w:color w:val="000000"/>
          <w:spacing w:val="0"/>
          <w:sz w:val="31"/>
          <w:szCs w:val="31"/>
          <w:shd w:val="clear" w:fill="FFFFFF"/>
        </w:rPr>
        <w:t>负责测绘地理信息管理、地质灾害预防和治理、矿产资源管理工作。</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8.</w:t>
      </w:r>
      <w:r>
        <w:rPr>
          <w:rFonts w:hint="eastAsia" w:ascii="仿宋_GB2312" w:hAnsi="微软雅黑" w:eastAsia="仿宋_GB2312" w:cs="仿宋_GB2312"/>
          <w:i w:val="0"/>
          <w:caps w:val="0"/>
          <w:color w:val="000000"/>
          <w:spacing w:val="0"/>
          <w:sz w:val="31"/>
          <w:szCs w:val="31"/>
          <w:shd w:val="clear" w:fill="FFFFFF"/>
        </w:rPr>
        <w:t>负责林业生态保护修复和造林绿化。负责森林、湿地资源、野生动植物资源的监督管理。</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9.</w:t>
      </w:r>
      <w:r>
        <w:rPr>
          <w:rFonts w:hint="eastAsia" w:ascii="仿宋_GB2312" w:hAnsi="微软雅黑" w:eastAsia="仿宋_GB2312" w:cs="仿宋_GB2312"/>
          <w:i w:val="0"/>
          <w:caps w:val="0"/>
          <w:color w:val="000000"/>
          <w:spacing w:val="0"/>
          <w:sz w:val="31"/>
          <w:szCs w:val="31"/>
          <w:shd w:val="clear" w:fill="FFFFFF"/>
        </w:rPr>
        <w:t>负责自然资源领域科技发展和对外合作；制定并实施自然资源领域科技创新发展和人才培养规划和计划。</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10.</w:t>
      </w:r>
      <w:r>
        <w:rPr>
          <w:rFonts w:hint="eastAsia" w:ascii="仿宋_GB2312" w:hAnsi="微软雅黑" w:eastAsia="仿宋_GB2312" w:cs="仿宋_GB2312"/>
          <w:i w:val="0"/>
          <w:caps w:val="0"/>
          <w:color w:val="000000"/>
          <w:spacing w:val="0"/>
          <w:sz w:val="31"/>
          <w:szCs w:val="31"/>
          <w:shd w:val="clear" w:fill="FFFFFF"/>
        </w:rPr>
        <w:t>按规定权限和程序负责辖区内的城乡规划审批和建设项目规划管理工作；负责全区村镇规划管理工作。</w:t>
      </w:r>
    </w:p>
    <w:p>
      <w:pPr>
        <w:pStyle w:val="3"/>
        <w:keepNext w:val="0"/>
        <w:keepLines w:val="0"/>
        <w:widowControl/>
        <w:suppressLineNumbers w:val="0"/>
        <w:shd w:val="clear"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fill="FFFFFF"/>
        </w:rPr>
        <w:t>11.</w:t>
      </w:r>
      <w:r>
        <w:rPr>
          <w:rFonts w:hint="eastAsia" w:ascii="仿宋_GB2312" w:hAnsi="微软雅黑" w:eastAsia="仿宋_GB2312" w:cs="仿宋_GB2312"/>
          <w:i w:val="0"/>
          <w:caps w:val="0"/>
          <w:color w:val="000000"/>
          <w:spacing w:val="0"/>
          <w:sz w:val="31"/>
          <w:szCs w:val="31"/>
          <w:shd w:val="clear" w:fill="FFFFFF"/>
        </w:rPr>
        <w:t>配合国家、省、市对区、镇（街道）落实党中央、国务院关于自然资源和国土空间规划的重大方针、决策部署及法律法规执行情况进行督察。</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（一）部门财政资金收入情况。</w:t>
      </w:r>
    </w:p>
    <w:p>
      <w:pPr>
        <w:pStyle w:val="7"/>
        <w:ind w:firstLine="640" w:firstLineChars="200"/>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遂宁经济技术开发区自然资源和规划中心2021年收入</w:t>
      </w:r>
      <w:r>
        <w:rPr>
          <w:rFonts w:hint="eastAsia" w:ascii="仿宋" w:hAnsi="仿宋" w:eastAsia="仿宋"/>
          <w:color w:val="000000"/>
          <w:sz w:val="32"/>
          <w:szCs w:val="32"/>
          <w:lang w:val="en-US" w:eastAsia="zh-CN"/>
        </w:rPr>
        <w:t>171.05</w:t>
      </w:r>
      <w:r>
        <w:rPr>
          <w:rFonts w:hint="eastAsia" w:ascii="仿宋_GB2312" w:hAnsi="仿宋_GB2312" w:eastAsia="仿宋_GB2312" w:cs="仿宋_GB2312"/>
          <w:kern w:val="2"/>
          <w:sz w:val="32"/>
          <w:szCs w:val="40"/>
          <w:lang w:val="en-US" w:eastAsia="zh-CN" w:bidi="ar-SA"/>
        </w:rPr>
        <w:t>万元，；一般公共拨款收入</w:t>
      </w:r>
      <w:r>
        <w:rPr>
          <w:rFonts w:hint="eastAsia" w:ascii="仿宋" w:hAnsi="仿宋" w:eastAsia="仿宋"/>
          <w:color w:val="000000"/>
          <w:sz w:val="32"/>
          <w:szCs w:val="32"/>
          <w:lang w:val="en-US" w:eastAsia="zh-CN"/>
        </w:rPr>
        <w:t>156</w:t>
      </w:r>
      <w:r>
        <w:rPr>
          <w:rFonts w:hint="eastAsia" w:ascii="仿宋_GB2312" w:hAnsi="仿宋_GB2312" w:eastAsia="仿宋_GB2312" w:cs="仿宋_GB2312"/>
          <w:kern w:val="2"/>
          <w:sz w:val="32"/>
          <w:szCs w:val="40"/>
          <w:lang w:val="en-US" w:eastAsia="zh-CN" w:bidi="ar-SA"/>
        </w:rPr>
        <w:t>万元；政府性基金预算财政拨款</w:t>
      </w:r>
    </w:p>
    <w:p>
      <w:pPr>
        <w:pStyle w:val="7"/>
        <w:numPr>
          <w:ilvl w:val="0"/>
          <w:numId w:val="1"/>
        </w:numPr>
        <w:ind w:firstLine="640" w:firstLineChars="200"/>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部门财政资金支出情况。</w:t>
      </w:r>
    </w:p>
    <w:p>
      <w:pPr>
        <w:pStyle w:val="7"/>
        <w:numPr>
          <w:ilvl w:val="0"/>
          <w:numId w:val="0"/>
        </w:numPr>
        <w:ind w:firstLine="640" w:firstLineChars="200"/>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kern w:val="2"/>
          <w:sz w:val="32"/>
          <w:szCs w:val="40"/>
          <w:lang w:val="en-US" w:eastAsia="zh-CN" w:bidi="ar-SA"/>
        </w:rPr>
        <w:t>遂宁经济技术开发区自然资源和规划中心2021年支出</w:t>
      </w:r>
      <w:r>
        <w:rPr>
          <w:rFonts w:hint="eastAsia" w:ascii="仿宋" w:hAnsi="仿宋" w:eastAsia="仿宋" w:cs="仿宋"/>
          <w:color w:val="000000"/>
          <w:sz w:val="32"/>
          <w:szCs w:val="32"/>
          <w:lang w:val="en-US" w:eastAsia="zh-CN"/>
        </w:rPr>
        <w:t>171.05</w:t>
      </w:r>
      <w:r>
        <w:rPr>
          <w:rFonts w:hint="eastAsia" w:ascii="仿宋" w:hAnsi="仿宋" w:eastAsia="仿宋" w:cs="仿宋"/>
          <w:kern w:val="2"/>
          <w:sz w:val="32"/>
          <w:szCs w:val="40"/>
          <w:lang w:val="en-US" w:eastAsia="zh-CN" w:bidi="ar-SA"/>
        </w:rPr>
        <w:t>万元，其中：基本支出</w:t>
      </w:r>
      <w:r>
        <w:rPr>
          <w:rFonts w:hint="eastAsia" w:ascii="仿宋" w:hAnsi="仿宋" w:eastAsia="仿宋" w:cs="仿宋"/>
          <w:color w:val="000000"/>
          <w:sz w:val="32"/>
          <w:szCs w:val="32"/>
          <w:lang w:val="en-US" w:eastAsia="zh-CN"/>
        </w:rPr>
        <w:t>157.89</w:t>
      </w:r>
      <w:r>
        <w:rPr>
          <w:rFonts w:hint="eastAsia" w:ascii="仿宋" w:hAnsi="仿宋" w:eastAsia="仿宋" w:cs="仿宋"/>
          <w:kern w:val="2"/>
          <w:sz w:val="32"/>
          <w:szCs w:val="40"/>
          <w:lang w:val="en-US" w:eastAsia="zh-CN" w:bidi="ar-SA"/>
        </w:rPr>
        <w:t>万元；项目支出</w:t>
      </w:r>
      <w:r>
        <w:rPr>
          <w:rFonts w:hint="eastAsia" w:ascii="仿宋" w:hAnsi="仿宋" w:eastAsia="仿宋" w:cs="仿宋"/>
          <w:color w:val="000000"/>
          <w:sz w:val="32"/>
          <w:szCs w:val="32"/>
          <w:lang w:val="en-US" w:eastAsia="zh-CN"/>
        </w:rPr>
        <w:t>13.16</w:t>
      </w:r>
      <w:r>
        <w:rPr>
          <w:rFonts w:hint="eastAsia" w:ascii="仿宋" w:hAnsi="仿宋" w:eastAsia="仿宋" w:cs="仿宋"/>
          <w:kern w:val="2"/>
          <w:sz w:val="32"/>
          <w:szCs w:val="40"/>
          <w:lang w:val="en-US" w:eastAsia="zh-CN" w:bidi="ar-SA"/>
        </w:rPr>
        <w:t>万元。</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部门整体预算绩效管理情况</w:t>
      </w:r>
    </w:p>
    <w:p>
      <w:pPr>
        <w:widowControl/>
        <w:numPr>
          <w:ilvl w:val="0"/>
          <w:numId w:val="0"/>
        </w:numPr>
        <w:adjustRightInd w:val="0"/>
        <w:snapToGrid w:val="0"/>
        <w:spacing w:line="580" w:lineRule="exact"/>
        <w:ind w:left="640" w:leftChars="0"/>
        <w:contextualSpacing/>
        <w:jc w:val="left"/>
        <w:rPr>
          <w:rFonts w:hint="eastAsia" w:ascii="仿宋_GB2312" w:hAnsi="仿宋_GB2312" w:eastAsia="宋体" w:cs="仿宋_GB2312"/>
          <w:kern w:val="2"/>
          <w:sz w:val="32"/>
          <w:szCs w:val="40"/>
          <w:lang w:val="zh-CN" w:eastAsia="zh-CN" w:bidi="ar-SA"/>
        </w:rPr>
      </w:pPr>
      <w:r>
        <w:rPr>
          <w:rFonts w:hint="eastAsia" w:ascii="仿宋_GB2312" w:hAnsi="仿宋_GB2312" w:eastAsia="宋体" w:cs="仿宋_GB2312"/>
          <w:kern w:val="2"/>
          <w:sz w:val="32"/>
          <w:szCs w:val="40"/>
          <w:lang w:val="zh-CN" w:eastAsia="zh-CN" w:bidi="ar-SA"/>
        </w:rPr>
        <w:t>（一）部门预算管理。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仿宋" w:hAnsi="仿宋" w:eastAsia="仿宋" w:cs="仿宋"/>
          <w:color w:val="000000"/>
          <w:kern w:val="2"/>
          <w:sz w:val="32"/>
          <w:szCs w:val="40"/>
          <w:lang w:val="en-US" w:eastAsia="zh-CN" w:bidi="ar-SA"/>
        </w:rPr>
      </w:pPr>
      <w:r>
        <w:rPr>
          <w:rFonts w:hint="eastAsia" w:ascii="仿宋" w:hAnsi="仿宋" w:eastAsia="仿宋" w:cs="仿宋"/>
          <w:color w:val="000000"/>
          <w:kern w:val="2"/>
          <w:sz w:val="32"/>
          <w:szCs w:val="40"/>
          <w:lang w:val="en-US" w:eastAsia="zh-CN" w:bidi="ar-SA"/>
        </w:rPr>
        <w:t>中心2021年财政收支年初预算数为162.6万元，实际拨款收入为171.05万元。其中基本支出年初预算数135.29万元，实际拨款收入157.89万元；项目支出年初预算数27.31万元，实际拨款收入13.16万元。文化旅游体育与传媒支出年初预算数0.5万元，实际拨款收入0.5万元；社会保障和就业年预算支出12.49万元，实际拨款收入14.52万元；卫生健康年预算支出7.46万元，实际拨款收入7.42万元；城乡社区年初预算支出27.31万元，实际拨款收入13.16万元。自然资源海洋气象等年预算支出98.44万元，实际拨款收入119.76万元；住房保障年预算支出16.9万元，实际拨款收入15.68万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仿宋_GB2312" w:hAnsi="仿宋_GB2312" w:cs="仿宋_GB2312"/>
          <w:kern w:val="2"/>
          <w:sz w:val="32"/>
          <w:szCs w:val="40"/>
          <w:lang w:val="en-US" w:eastAsia="zh-CN" w:bidi="ar-SA"/>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仿宋_GB2312" w:hAnsi="仿宋_GB2312" w:cs="仿宋_GB2312"/>
          <w:kern w:val="2"/>
          <w:sz w:val="32"/>
          <w:szCs w:val="40"/>
          <w:lang w:val="en-US" w:eastAsia="zh-CN" w:bidi="ar-SA"/>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right="0" w:firstLine="640" w:firstLineChars="200"/>
        <w:jc w:val="left"/>
        <w:textAlignment w:val="auto"/>
        <w:rPr>
          <w:rFonts w:hint="eastAsia" w:ascii="仿宋_GB2312" w:hAnsi="仿宋_GB2312" w:cs="仿宋_GB2312"/>
          <w:kern w:val="2"/>
          <w:sz w:val="32"/>
          <w:szCs w:val="40"/>
          <w:lang w:val="en-US" w:eastAsia="zh-CN" w:bidi="ar-SA"/>
        </w:rPr>
      </w:pPr>
      <w:r>
        <w:rPr>
          <w:rFonts w:hint="eastAsia" w:ascii="仿宋_GB2312" w:hAnsi="仿宋_GB2312" w:cs="仿宋_GB2312"/>
          <w:kern w:val="2"/>
          <w:sz w:val="32"/>
          <w:szCs w:val="40"/>
          <w:lang w:val="en-US" w:eastAsia="zh-CN" w:bidi="ar-SA"/>
        </w:rPr>
        <w:t>（二）结果应用情况</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中心在执行各项资金预算中，严格按照中央、省、市各级财务规定，关好、用好每笔资金。</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（三）综合管理情况</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bidi="ar-SA"/>
        </w:rPr>
        <w:t>财务管理规范，财务规章制度建立健全，制度执行严格合规，严格按照《行政单位会计制度》和相关规定会计核算，按照专项资金管理办法管理各项专项资金，做到了专项专用，资金支付依据充分、材料完整，开支范围、开支标准合法合规，无虚假冒领、挤占挪用、改变资金用途、扩大支出范围等违法违规问题，对相关项目进行了自查和督导检查，在财政及上级专项检查中未发现相关违纪违规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adjustRightInd w:val="0"/>
        <w:snapToGrid w:val="0"/>
        <w:spacing w:line="540" w:lineRule="exact"/>
        <w:ind w:firstLine="640" w:firstLineChars="200"/>
        <w:jc w:val="left"/>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（一）评价结论</w:t>
      </w:r>
    </w:p>
    <w:p>
      <w:pPr>
        <w:pStyle w:val="7"/>
        <w:keepNext w:val="0"/>
        <w:keepLines w:val="0"/>
        <w:pageBreakBefore w:val="0"/>
        <w:kinsoku/>
        <w:wordWrap/>
        <w:overflowPunct/>
        <w:topLinePunct w:val="0"/>
        <w:autoSpaceDE/>
        <w:autoSpaceDN/>
        <w:bidi w:val="0"/>
        <w:ind w:firstLine="640" w:firstLineChars="200"/>
        <w:textAlignment w:val="auto"/>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按照项目计划，有序推进。绩效目标是预算编制的前提和基础，按照“费随事定”的原则，2020年所有专用项目和整体支出都按要求编制了绩效目标，从项目完成、项目效益、满意度等方面设置了绩效指标，综合反映项目预期完成的数量、成本、时效、质量，预期达到的社会效益、经济效益、生态效益、可持续影响以及服务对象免疫的等情况。圆满完成，未要求公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（二）存在问题。</w:t>
      </w:r>
    </w:p>
    <w:p>
      <w:pPr>
        <w:pStyle w:val="7"/>
        <w:keepNext w:val="0"/>
        <w:keepLines w:val="0"/>
        <w:pageBreakBefore w:val="0"/>
        <w:kinsoku/>
        <w:wordWrap/>
        <w:overflowPunct/>
        <w:topLinePunct w:val="0"/>
        <w:autoSpaceDE/>
        <w:autoSpaceDN/>
        <w:bidi w:val="0"/>
        <w:ind w:firstLine="640" w:firstLineChars="200"/>
        <w:textAlignment w:val="auto"/>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一是预算绩效目标设定有待加强。二是资产管理有待加强，没有定期核实国有资产情况。三是项目预算不够科学。对下年度工作的统筹考虑还不够周全和详细，在编制预算时对全年工作进行充分调研和论证不够，导致编制出的预算不够全面和准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（三）改进建议。</w:t>
      </w:r>
    </w:p>
    <w:p>
      <w:pPr>
        <w:pStyle w:val="7"/>
        <w:keepNext w:val="0"/>
        <w:keepLines w:val="0"/>
        <w:pageBreakBefore w:val="0"/>
        <w:kinsoku/>
        <w:wordWrap/>
        <w:overflowPunct/>
        <w:topLinePunct w:val="0"/>
        <w:autoSpaceDE/>
        <w:autoSpaceDN/>
        <w:bidi w:val="0"/>
        <w:ind w:firstLine="640" w:firstLineChars="200"/>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一是加强学习。二是进一步加强资产管理，定期排查国有资产情况。三是科学合理编制预算，严格执行预算，在日常预算管理过程中，进一步加强预算支出的审核、跟踪及预算执行情况分析。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9C436"/>
    <w:multiLevelType w:val="singleLevel"/>
    <w:tmpl w:val="F669C4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MDFkNzQxOTAyMTU3MDc3MGZjOGUxYjI3ZDQxMzcifQ=="/>
  </w:docVars>
  <w:rsids>
    <w:rsidRoot w:val="70413CB0"/>
    <w:rsid w:val="70413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1"/>
    <w:qFormat/>
    <w:uiPriority w:val="0"/>
    <w:pPr>
      <w:widowControl w:val="0"/>
      <w:jc w:val="both"/>
    </w:pPr>
    <w:rPr>
      <w:rFonts w:ascii="Times New Roman" w:hAnsi="Times New Roman" w:eastAsia="Times New Roman" w:cs="Times New Roman"/>
      <w:sz w:val="32"/>
    </w:rPr>
  </w:style>
  <w:style w:type="paragraph" w:customStyle="1" w:styleId="7">
    <w:name w:val="UserStyle_0"/>
    <w:basedOn w:val="1"/>
    <w:qFormat/>
    <w:uiPriority w:val="0"/>
    <w:pPr>
      <w:jc w:val="left"/>
    </w:pPr>
    <w:rPr>
      <w:rFonts w:ascii="宋体" w:hAnsi="Calibri" w:eastAsia="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2022-08-29T02:27:00Z</dcterms:created>
  <dc:creator>WPS_1542850912</dc:creator>
  <cp:lastModifiedBy>WPS_1542850912</cp:lastModifiedBy>
  <dcterms:modified xsi:type="dcterms:W3CDTF">2022-08-29T02:28:05Z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5DE4BA2651D447D58435CF269B4DC226</vt:lpwstr>
  </property>
</Properties>
</file>