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5430B">
      <w:pPr>
        <w:pStyle w:val="2"/>
        <w:jc w:val="center"/>
        <w:rPr>
          <w:shd w:val="clear" w:color="auto" w:fill="FFFFFF"/>
        </w:rPr>
      </w:pPr>
      <w:r>
        <w:rPr>
          <w:rFonts w:hint="eastAsia"/>
          <w:shd w:val="clear" w:color="auto" w:fill="FFFFFF"/>
        </w:rPr>
        <w:t>遂宁市自然资源和规划局</w:t>
      </w:r>
      <w:r>
        <w:rPr>
          <w:shd w:val="clear" w:color="auto" w:fill="FFFFFF"/>
        </w:rPr>
        <w:t>部门</w:t>
      </w:r>
    </w:p>
    <w:p w14:paraId="3E907EF0">
      <w:pPr>
        <w:pStyle w:val="2"/>
        <w:jc w:val="center"/>
        <w:rPr>
          <w:shd w:val="clear" w:color="auto" w:fill="FFFFFF"/>
        </w:rPr>
      </w:pPr>
      <w:r>
        <w:rPr>
          <w:rFonts w:hint="eastAsia"/>
          <w:shd w:val="clear" w:color="auto" w:fill="FFFFFF"/>
        </w:rPr>
        <w:t>2022年度</w:t>
      </w:r>
      <w:r>
        <w:rPr>
          <w:shd w:val="clear" w:color="auto" w:fill="FFFFFF"/>
        </w:rPr>
        <w:t>整体支出绩效</w:t>
      </w:r>
      <w:r>
        <w:rPr>
          <w:rFonts w:hint="eastAsia"/>
          <w:shd w:val="clear" w:color="auto" w:fill="FFFFFF"/>
        </w:rPr>
        <w:t>自评</w:t>
      </w:r>
      <w:r>
        <w:rPr>
          <w:shd w:val="clear" w:color="auto" w:fill="FFFFFF"/>
        </w:rPr>
        <w:t>报告</w:t>
      </w:r>
    </w:p>
    <w:p w14:paraId="1D9FEB4F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一、</w:t>
      </w: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部门（单位）概况</w:t>
      </w:r>
    </w:p>
    <w:p w14:paraId="056A64C2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（一）机构组成</w:t>
      </w:r>
    </w:p>
    <w:p w14:paraId="6C1D1D45">
      <w:pPr>
        <w:widowControl/>
        <w:shd w:val="clear" w:color="auto" w:fill="FFFFFF"/>
        <w:spacing w:line="600" w:lineRule="exact"/>
        <w:ind w:firstLine="640"/>
        <w:rPr>
          <w:rFonts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asciiTheme="minorEastAsia" w:hAnsiTheme="minorEastAsia" w:eastAsiaTheme="minorEastAsia"/>
          <w:color w:val="333333"/>
          <w:kern w:val="0"/>
          <w:sz w:val="28"/>
          <w:szCs w:val="28"/>
        </w:rPr>
        <w:t>遂宁市自然资源和规划局</w:t>
      </w:r>
      <w:r>
        <w:rPr>
          <w:rFonts w:hint="eastAsia" w:asciiTheme="minorEastAsia" w:hAnsiTheme="minorEastAsia" w:eastAsiaTheme="minorEastAsia"/>
          <w:color w:val="333333"/>
          <w:kern w:val="0"/>
          <w:sz w:val="28"/>
          <w:szCs w:val="28"/>
        </w:rPr>
        <w:t>独立预算的</w:t>
      </w:r>
      <w:r>
        <w:rPr>
          <w:rFonts w:asciiTheme="minorEastAsia" w:hAnsiTheme="minorEastAsia" w:eastAsiaTheme="minorEastAsia"/>
          <w:color w:val="333333"/>
          <w:kern w:val="0"/>
          <w:sz w:val="28"/>
          <w:szCs w:val="28"/>
        </w:rPr>
        <w:t>下属二级单位6个，其中行政单位</w:t>
      </w:r>
      <w:r>
        <w:rPr>
          <w:rFonts w:hint="eastAsia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asciiTheme="minorEastAsia" w:hAnsiTheme="minorEastAsia" w:eastAsiaTheme="minorEastAsia"/>
          <w:color w:val="333333"/>
          <w:kern w:val="0"/>
          <w:sz w:val="28"/>
          <w:szCs w:val="28"/>
        </w:rPr>
        <w:t>个，参照公务员法管理的事业单位</w:t>
      </w:r>
      <w:r>
        <w:rPr>
          <w:rFonts w:hint="eastAsia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asciiTheme="minorEastAsia" w:hAnsiTheme="minorEastAsia" w:eastAsiaTheme="minorEastAsia"/>
          <w:color w:val="333333"/>
          <w:kern w:val="0"/>
          <w:sz w:val="28"/>
          <w:szCs w:val="28"/>
        </w:rPr>
        <w:t>个，其他事业单位</w:t>
      </w:r>
      <w:r>
        <w:rPr>
          <w:rFonts w:hint="eastAsia" w:asciiTheme="minorEastAsia" w:hAnsiTheme="minorEastAsia" w:eastAsiaTheme="minorEastAsia"/>
          <w:color w:val="333333"/>
          <w:kern w:val="0"/>
          <w:sz w:val="28"/>
          <w:szCs w:val="28"/>
        </w:rPr>
        <w:t>4</w:t>
      </w:r>
      <w:r>
        <w:rPr>
          <w:rFonts w:asciiTheme="minorEastAsia" w:hAnsiTheme="minorEastAsia" w:eastAsiaTheme="minorEastAsia"/>
          <w:color w:val="333333"/>
          <w:kern w:val="0"/>
          <w:sz w:val="28"/>
          <w:szCs w:val="28"/>
        </w:rPr>
        <w:t>个。</w:t>
      </w:r>
      <w:r>
        <w:rPr>
          <w:rFonts w:asciiTheme="minorEastAsia" w:hAnsiTheme="minorEastAsia" w:eastAsiaTheme="minorEastAsia"/>
          <w:color w:val="000000"/>
          <w:kern w:val="0"/>
          <w:sz w:val="28"/>
          <w:szCs w:val="28"/>
        </w:rPr>
        <w:t>主要包括：</w:t>
      </w:r>
    </w:p>
    <w:p w14:paraId="198D35A3">
      <w:pPr>
        <w:widowControl/>
        <w:shd w:val="clear" w:color="auto" w:fill="FFFFFF"/>
        <w:spacing w:line="600" w:lineRule="exact"/>
        <w:ind w:firstLine="560" w:firstLineChars="200"/>
        <w:rPr>
          <w:rFonts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</w:rPr>
        <w:t>1.遂宁市土地储备中心</w:t>
      </w:r>
    </w:p>
    <w:p w14:paraId="5EEE63D2">
      <w:pPr>
        <w:widowControl/>
        <w:shd w:val="clear" w:color="auto" w:fill="FFFFFF"/>
        <w:spacing w:line="600" w:lineRule="exact"/>
        <w:ind w:firstLine="560" w:firstLineChars="200"/>
        <w:rPr>
          <w:rFonts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</w:rPr>
        <w:t>2.遂宁市河东新区自然资源和规划中心</w:t>
      </w:r>
    </w:p>
    <w:p w14:paraId="2EAB50DD">
      <w:pPr>
        <w:widowControl/>
        <w:shd w:val="clear" w:color="auto" w:fill="FFFFFF"/>
        <w:spacing w:line="600" w:lineRule="exact"/>
        <w:ind w:firstLine="560" w:firstLineChars="200"/>
        <w:rPr>
          <w:rFonts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</w:rPr>
        <w:t>3.遂宁经济技术开发区自然资源和规划中心</w:t>
      </w:r>
    </w:p>
    <w:p w14:paraId="5F4032AF">
      <w:pPr>
        <w:widowControl/>
        <w:shd w:val="clear" w:color="auto" w:fill="FFFFFF"/>
        <w:spacing w:line="600" w:lineRule="exact"/>
        <w:ind w:firstLine="560" w:firstLineChars="200"/>
        <w:rPr>
          <w:rFonts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</w:rPr>
        <w:t>4.遂宁市不动产登记中心</w:t>
      </w:r>
    </w:p>
    <w:p w14:paraId="28736B31">
      <w:pPr>
        <w:widowControl/>
        <w:shd w:val="clear" w:color="auto" w:fill="FFFFFF"/>
        <w:spacing w:line="600" w:lineRule="exact"/>
        <w:ind w:firstLine="560" w:firstLineChars="200"/>
        <w:rPr>
          <w:rFonts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</w:rPr>
        <w:t>5.遂宁市勘察测绘院（遂宁市基础地理信息中心）</w:t>
      </w:r>
    </w:p>
    <w:p w14:paraId="17E45532">
      <w:pPr>
        <w:widowControl/>
        <w:shd w:val="clear" w:color="auto" w:fill="FFFFFF"/>
        <w:spacing w:line="600" w:lineRule="exact"/>
        <w:ind w:firstLine="560" w:firstLineChars="200"/>
        <w:rPr>
          <w:rFonts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</w:rPr>
        <w:t>6.遂宁市自然资源和规划局高新技术产业园区分局</w:t>
      </w:r>
    </w:p>
    <w:p w14:paraId="6590CB60">
      <w:pPr>
        <w:pStyle w:val="11"/>
        <w:ind w:firstLine="560" w:firstLineChars="200"/>
        <w:rPr>
          <w:rFonts w:asciiTheme="minorEastAsia" w:hAnsiTheme="minorEastAsia" w:eastAsiaTheme="minorEastAsia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kern w:val="0"/>
          <w:sz w:val="28"/>
          <w:szCs w:val="28"/>
          <w:shd w:val="clear" w:color="auto" w:fill="FFFFFF"/>
          <w:lang w:val="zh-CN"/>
        </w:rPr>
        <w:t>（二）机构职能</w:t>
      </w:r>
    </w:p>
    <w:p w14:paraId="125444FA">
      <w:pPr>
        <w:pStyle w:val="11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（1）、组织实施国家有关土地资源、矿产资源等自然资源管理的法律、法规和规章；依照规定负责有关行政复议。</w:t>
      </w:r>
    </w:p>
    <w:p w14:paraId="1E55FB83">
      <w:pPr>
        <w:pStyle w:val="11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2）、组织编制和实施我市国土规划、土地利用总体规划、矿产资源规划等综合规划和土地开发整理规划、地质灾害防治和地质遗迹保护规划等其他专项规划；负责编制和实施土地利用年度计划；指导、审核乡（镇）土地利用总体规划和市矿产资源规划等专项规划，进行建设用地预审；参与各类建设项目用地方案、选址的论证工作；组织我市矿产资源的调查、监测和评价。</w:t>
      </w:r>
    </w:p>
    <w:p w14:paraId="10152DA4">
      <w:pPr>
        <w:pStyle w:val="11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　  （3）、依法保护土地所有者和使用者的合法权益，保护矿产资源国家所有权益和探矿权人、采矿权人的合法权益；监督检查乡（镇）国土资源部门行政执法和土地、矿产资源规划执行情况；承办并组织调处土地、矿产资源的权属纠纷；依法查处国土资源违法案件和测绘违法案件。</w:t>
      </w:r>
    </w:p>
    <w:p w14:paraId="75D6DDFE">
      <w:pPr>
        <w:pStyle w:val="11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　 （4）、严格保护耕地，组织实施国家耕地保护政策和土地开发整理政策，实施土地用途管制，组织基本农田保护，主管全市未利用土地开发、土地整理、土地复垦和耕地开发工作，确保耕地总量占补平衡。</w:t>
      </w:r>
    </w:p>
    <w:p w14:paraId="3F0BF954">
      <w:pPr>
        <w:pStyle w:val="11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　 （5）、负责全市农用地转用、征收、征用集体土地，拆迁集体土地上房屋及其附着物工作；对全市征地拆迁事务性工作进行指导、协调、监督、检查，审核、汇总上报的征地报批材料；承办遂宁市人民政府或国务院审批的建设用地审查、报批工作。</w:t>
      </w:r>
    </w:p>
    <w:p w14:paraId="37DD0101">
      <w:pPr>
        <w:pStyle w:val="11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6）、管理土地市场，组织制定和实施土地供应年度计划，负责全市土地的划拨、出让工作；会同有关部门制订土地市场管理的规章制度，规范土地市场；对土地市场地价进行监测，提出土地市场调控措施；指导和负责农村集体非农土地使用权的流转管理。组织全市基准地价的评估，协助上级国土资源部门开展土地估价行业管理，备案土地使用权评估价格。</w:t>
      </w:r>
    </w:p>
    <w:p w14:paraId="6C967E38">
      <w:pPr>
        <w:pStyle w:val="11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7）、负责全市地籍管理工作，负责组织编制全市地籍管理确权、登记、发证的审核工作；组织全市土地资源调查、地籍调查、土地统计工作，建立健全与更新土地统计台帐及薄册；负责土地使用权转让、租赁、抵押的权属管理。</w:t>
      </w:r>
    </w:p>
    <w:p w14:paraId="4B7A9F1D">
      <w:pPr>
        <w:pStyle w:val="11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（8）贯彻执行国家有关城乡规划、城市可持续发展的法律、法规、规章和各项方针、政策，研究、起草城市规划、村镇规划和发展绿色经济的地方性政策、规范性文件、技术规定，经批准发布后组织实施。负责本部门依法行政工作，落实行政执法责任制。</w:t>
      </w:r>
    </w:p>
    <w:p w14:paraId="0CC992B2">
      <w:pPr>
        <w:pStyle w:val="11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（9）</w:t>
      </w:r>
      <w:r>
        <w:rPr>
          <w:rFonts w:hint="eastAsia" w:asciiTheme="minorEastAsia" w:hAnsiTheme="minorEastAsia" w:eastAsiaTheme="minorEastAsia"/>
          <w:spacing w:val="-15"/>
          <w:sz w:val="28"/>
          <w:szCs w:val="28"/>
        </w:rPr>
        <w:t>、负责研究制订全市城乡发展战略和城市发展总体规划，</w:t>
      </w:r>
      <w:r>
        <w:rPr>
          <w:rFonts w:hint="eastAsia" w:asciiTheme="minorEastAsia" w:hAnsiTheme="minorEastAsia" w:eastAsiaTheme="minorEastAsia"/>
          <w:sz w:val="28"/>
          <w:szCs w:val="28"/>
        </w:rPr>
        <w:t>组织编制、调整、修订、报批城市总体规划；负责市域城镇体系规划、分区规划、详细规划的协调、组织、编制、报批和对外公示工作；参与江河流域规划、区域规划、土地利用总体规划以及城市社会经济发展规划的编制；负责综合协调与平衡各项专业规划；负责市域内市级以上风景名胜区、自然保护区、森林公园、历史文化保护区、旅游景区规划管理及其市域内绿地系统规划管理；负责规划设计招标工作。承担全市城乡规划编制管理。</w:t>
      </w:r>
    </w:p>
    <w:p w14:paraId="58F236F3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（三）人员概况</w:t>
      </w:r>
    </w:p>
    <w:p w14:paraId="1DD59E24">
      <w:pPr>
        <w:spacing w:line="600" w:lineRule="exact"/>
        <w:ind w:firstLine="560" w:firstLineChars="200"/>
        <w:rPr>
          <w:rFonts w:asciiTheme="minorEastAsia" w:hAnsiTheme="minorEastAsia" w:eastAsiaTheme="minorEastAsia"/>
          <w:color w:val="000000"/>
          <w:kern w:val="0"/>
          <w:sz w:val="28"/>
          <w:szCs w:val="32"/>
          <w:shd w:val="clear" w:color="auto" w:fill="FFFFFF"/>
          <w:lang w:val="zh-CN"/>
        </w:rPr>
      </w:pPr>
      <w:r>
        <w:rPr>
          <w:rFonts w:hint="eastAsia" w:ascii="宋体" w:hAnsi="宋体" w:eastAsia="宋体" w:cs="仿宋_GB2312"/>
          <w:color w:val="000000"/>
          <w:kern w:val="0"/>
          <w:sz w:val="28"/>
          <w:shd w:val="clear" w:color="auto" w:fill="FFFFFF"/>
          <w:lang w:val="zh-CN"/>
        </w:rPr>
        <w:t>截至</w:t>
      </w:r>
      <w:r>
        <w:rPr>
          <w:rFonts w:hint="eastAsia" w:ascii="宋体" w:hAnsi="宋体" w:eastAsia="宋体" w:cs="仿宋_GB2312"/>
          <w:color w:val="000000"/>
          <w:kern w:val="0"/>
          <w:sz w:val="28"/>
          <w:shd w:val="clear" w:color="auto" w:fill="FFFFFF"/>
        </w:rPr>
        <w:t>2022年底</w:t>
      </w:r>
      <w:r>
        <w:rPr>
          <w:rFonts w:hint="eastAsia" w:cs="仿宋_GB2312" w:asciiTheme="minorEastAsia" w:hAnsiTheme="minorEastAsia" w:eastAsiaTheme="minorEastAsia"/>
          <w:color w:val="000000"/>
          <w:kern w:val="0"/>
          <w:sz w:val="28"/>
          <w:shd w:val="clear" w:color="auto" w:fill="FFFFFF"/>
        </w:rPr>
        <w:t>，本部门</w:t>
      </w:r>
      <w:r>
        <w:rPr>
          <w:rFonts w:hint="eastAsia" w:ascii="宋体" w:hAnsi="宋体" w:eastAsia="宋体" w:cs="仿宋_GB2312"/>
          <w:sz w:val="28"/>
          <w:szCs w:val="32"/>
        </w:rPr>
        <w:t>在职人</w:t>
      </w:r>
      <w:r>
        <w:rPr>
          <w:rFonts w:hint="eastAsia" w:cs="仿宋_GB2312" w:asciiTheme="minorEastAsia" w:hAnsiTheme="minorEastAsia" w:eastAsiaTheme="minorEastAsia"/>
          <w:sz w:val="28"/>
          <w:szCs w:val="32"/>
        </w:rPr>
        <w:t>员186</w:t>
      </w:r>
      <w:r>
        <w:rPr>
          <w:rFonts w:hint="eastAsia" w:ascii="宋体" w:hAnsi="宋体" w:eastAsia="宋体" w:cs="仿宋_GB2312"/>
          <w:sz w:val="28"/>
          <w:szCs w:val="32"/>
        </w:rPr>
        <w:t>人，</w:t>
      </w:r>
      <w:r>
        <w:rPr>
          <w:rFonts w:hint="eastAsia" w:cs="仿宋_GB2312" w:asciiTheme="minorEastAsia" w:hAnsiTheme="minorEastAsia" w:eastAsiaTheme="minorEastAsia"/>
          <w:sz w:val="28"/>
          <w:szCs w:val="32"/>
        </w:rPr>
        <w:t>其中：行政人员</w:t>
      </w:r>
      <w:r>
        <w:rPr>
          <w:rFonts w:cs="仿宋_GB2312" w:asciiTheme="minorEastAsia" w:hAnsiTheme="minorEastAsia" w:eastAsiaTheme="minorEastAsia"/>
          <w:sz w:val="28"/>
          <w:szCs w:val="32"/>
        </w:rPr>
        <w:t>35</w:t>
      </w:r>
      <w:r>
        <w:rPr>
          <w:rFonts w:hint="eastAsia" w:cs="仿宋_GB2312" w:asciiTheme="minorEastAsia" w:hAnsiTheme="minorEastAsia" w:eastAsiaTheme="minorEastAsia"/>
          <w:sz w:val="28"/>
          <w:szCs w:val="32"/>
        </w:rPr>
        <w:t>人、参公人员</w:t>
      </w:r>
      <w:r>
        <w:rPr>
          <w:rFonts w:cs="仿宋_GB2312" w:asciiTheme="minorEastAsia" w:hAnsiTheme="minorEastAsia" w:eastAsiaTheme="minorEastAsia"/>
          <w:sz w:val="28"/>
          <w:szCs w:val="32"/>
        </w:rPr>
        <w:t>39</w:t>
      </w:r>
      <w:r>
        <w:rPr>
          <w:rFonts w:hint="eastAsia" w:cs="仿宋_GB2312" w:asciiTheme="minorEastAsia" w:hAnsiTheme="minorEastAsia" w:eastAsiaTheme="minorEastAsia"/>
          <w:sz w:val="28"/>
          <w:szCs w:val="32"/>
        </w:rPr>
        <w:t>人、事业人员</w:t>
      </w:r>
      <w:r>
        <w:rPr>
          <w:rFonts w:cs="仿宋_GB2312" w:asciiTheme="minorEastAsia" w:hAnsiTheme="minorEastAsia" w:eastAsiaTheme="minorEastAsia"/>
          <w:sz w:val="28"/>
          <w:szCs w:val="32"/>
        </w:rPr>
        <w:t>108</w:t>
      </w:r>
      <w:r>
        <w:rPr>
          <w:rFonts w:hint="eastAsia" w:cs="仿宋_GB2312" w:asciiTheme="minorEastAsia" w:hAnsiTheme="minorEastAsia" w:eastAsiaTheme="minorEastAsia"/>
          <w:sz w:val="28"/>
          <w:szCs w:val="32"/>
        </w:rPr>
        <w:t>人、经费自理人员4人。</w:t>
      </w:r>
      <w:r>
        <w:rPr>
          <w:rFonts w:hint="eastAsia" w:ascii="宋体" w:hAnsi="宋体" w:eastAsia="宋体" w:cs="仿宋_GB2312"/>
          <w:sz w:val="28"/>
          <w:szCs w:val="32"/>
        </w:rPr>
        <w:t>退休</w:t>
      </w:r>
      <w:r>
        <w:rPr>
          <w:rFonts w:hint="eastAsia" w:cs="仿宋_GB2312" w:asciiTheme="minorEastAsia" w:hAnsiTheme="minorEastAsia" w:eastAsiaTheme="minorEastAsia"/>
          <w:sz w:val="28"/>
          <w:szCs w:val="32"/>
        </w:rPr>
        <w:t>人员2</w:t>
      </w:r>
      <w:r>
        <w:rPr>
          <w:rFonts w:hint="eastAsia" w:ascii="宋体" w:hAnsi="宋体" w:eastAsia="宋体" w:cs="仿宋_GB2312"/>
          <w:sz w:val="28"/>
          <w:szCs w:val="32"/>
        </w:rPr>
        <w:t>人。</w:t>
      </w:r>
    </w:p>
    <w:p w14:paraId="57499083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二、部门财政资金收支情况</w:t>
      </w:r>
    </w:p>
    <w:p w14:paraId="3801F738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（一）部门财政资金收入情况</w:t>
      </w:r>
    </w:p>
    <w:p w14:paraId="725AE30F">
      <w:pPr>
        <w:spacing w:line="600" w:lineRule="exact"/>
        <w:ind w:firstLine="560" w:firstLineChars="20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2022年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zh-CN"/>
        </w:rPr>
        <w:t>市自然资源和规划局部门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年初预算5977.76万元，中期调整额为4775.21万元，调整后预算收入总额为10752.97万元。具体情况详见表1-1：</w:t>
      </w:r>
    </w:p>
    <w:p w14:paraId="7EFB82C1">
      <w:pPr>
        <w:spacing w:line="600" w:lineRule="exact"/>
        <w:ind w:firstLine="562" w:firstLineChars="200"/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sz w:val="28"/>
          <w:szCs w:val="28"/>
        </w:rPr>
        <w:t>表1-1年度预算表</w:t>
      </w:r>
    </w:p>
    <w:tbl>
      <w:tblPr>
        <w:tblStyle w:val="5"/>
        <w:tblpPr w:leftFromText="180" w:rightFromText="180" w:vertAnchor="text" w:horzAnchor="page" w:tblpX="1581" w:tblpY="224"/>
        <w:tblOverlap w:val="never"/>
        <w:tblW w:w="91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8"/>
        <w:gridCol w:w="2074"/>
        <w:gridCol w:w="2081"/>
        <w:gridCol w:w="2081"/>
      </w:tblGrid>
      <w:tr w14:paraId="5BAB3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</w:tcPr>
          <w:p w14:paraId="62C8796F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项目名称</w:t>
            </w:r>
          </w:p>
        </w:tc>
        <w:tc>
          <w:tcPr>
            <w:tcW w:w="2074" w:type="dxa"/>
          </w:tcPr>
          <w:p w14:paraId="0F6E038E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年初预算（万元）</w:t>
            </w:r>
          </w:p>
        </w:tc>
        <w:tc>
          <w:tcPr>
            <w:tcW w:w="2081" w:type="dxa"/>
          </w:tcPr>
          <w:p w14:paraId="2C340762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中期调整</w:t>
            </w: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（万元）</w:t>
            </w:r>
          </w:p>
        </w:tc>
        <w:tc>
          <w:tcPr>
            <w:tcW w:w="2081" w:type="dxa"/>
          </w:tcPr>
          <w:p w14:paraId="091E9189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年度总预算</w:t>
            </w: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（万元）</w:t>
            </w:r>
          </w:p>
        </w:tc>
      </w:tr>
      <w:tr w14:paraId="56986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</w:tcPr>
          <w:p w14:paraId="09B4B8CA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  <w:t>一、一般公共预算财政拨款收入</w:t>
            </w:r>
          </w:p>
        </w:tc>
        <w:tc>
          <w:tcPr>
            <w:tcW w:w="2074" w:type="dxa"/>
          </w:tcPr>
          <w:p w14:paraId="2C9B2004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</w:rPr>
              <w:t>4466.03</w:t>
            </w:r>
          </w:p>
        </w:tc>
        <w:tc>
          <w:tcPr>
            <w:tcW w:w="2081" w:type="dxa"/>
          </w:tcPr>
          <w:p w14:paraId="038D7762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</w:rPr>
              <w:t>2230.06</w:t>
            </w:r>
          </w:p>
        </w:tc>
        <w:tc>
          <w:tcPr>
            <w:tcW w:w="2081" w:type="dxa"/>
          </w:tcPr>
          <w:p w14:paraId="71D46A61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</w:rPr>
              <w:t>6696.09</w:t>
            </w:r>
          </w:p>
        </w:tc>
      </w:tr>
      <w:tr w14:paraId="7A325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</w:tcPr>
          <w:p w14:paraId="5F81AC29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  <w:t>二、政府性基金预算财政拨款收入</w:t>
            </w:r>
          </w:p>
        </w:tc>
        <w:tc>
          <w:tcPr>
            <w:tcW w:w="2074" w:type="dxa"/>
          </w:tcPr>
          <w:p w14:paraId="2CC1E565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</w:rPr>
              <w:t>1,5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</w:rPr>
              <w:t>11.73</w:t>
            </w:r>
          </w:p>
        </w:tc>
        <w:tc>
          <w:tcPr>
            <w:tcW w:w="2081" w:type="dxa"/>
          </w:tcPr>
          <w:p w14:paraId="7A46D14D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  <w:t>2545.15</w:t>
            </w:r>
          </w:p>
        </w:tc>
        <w:tc>
          <w:tcPr>
            <w:tcW w:w="2081" w:type="dxa"/>
          </w:tcPr>
          <w:p w14:paraId="6AE29CFD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  <w:t>4056.88</w:t>
            </w:r>
          </w:p>
        </w:tc>
      </w:tr>
      <w:tr w14:paraId="060DE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8" w:type="dxa"/>
          </w:tcPr>
          <w:p w14:paraId="08B68BDE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FF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总计</w:t>
            </w:r>
          </w:p>
        </w:tc>
        <w:tc>
          <w:tcPr>
            <w:tcW w:w="2074" w:type="dxa"/>
          </w:tcPr>
          <w:p w14:paraId="66FB890B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5977.76</w:t>
            </w:r>
          </w:p>
        </w:tc>
        <w:tc>
          <w:tcPr>
            <w:tcW w:w="2081" w:type="dxa"/>
          </w:tcPr>
          <w:p w14:paraId="0FDF1B5B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</w:rPr>
              <w:t>4775.21</w:t>
            </w:r>
          </w:p>
        </w:tc>
        <w:tc>
          <w:tcPr>
            <w:tcW w:w="2081" w:type="dxa"/>
          </w:tcPr>
          <w:p w14:paraId="01E77256">
            <w:pPr>
              <w:widowControl/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</w:rPr>
              <w:t>10752.97</w:t>
            </w:r>
          </w:p>
        </w:tc>
      </w:tr>
    </w:tbl>
    <w:p w14:paraId="34E42DC2">
      <w:pPr>
        <w:widowControl/>
        <w:adjustRightInd w:val="0"/>
        <w:snapToGrid w:val="0"/>
        <w:spacing w:line="620" w:lineRule="exact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</w:p>
    <w:p w14:paraId="72F955C0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（二）部门财政资金支出情况</w:t>
      </w:r>
    </w:p>
    <w:p w14:paraId="6DE2E75E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2022年度遂宁市自然资源和规划局部门</w:t>
      </w: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财政资金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预算执行总额为</w:t>
      </w: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9548.32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万元，部门总体执行进度为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88.8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%，其中：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28"/>
          <w:szCs w:val="28"/>
          <w:lang w:val="zh-CN"/>
        </w:rPr>
        <w:t>一般公共预算财政拨款收入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总额为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6696.09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万元，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28"/>
          <w:szCs w:val="28"/>
          <w:lang w:val="zh-CN"/>
        </w:rPr>
        <w:t>一般公共预算财政拨款收入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执行总额为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5706.5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万元，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28"/>
          <w:szCs w:val="28"/>
          <w:lang w:val="zh-CN"/>
        </w:rPr>
        <w:t>一般公共预算财政拨款收入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总体执行进度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85.22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%；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28"/>
          <w:szCs w:val="28"/>
          <w:lang w:val="zh-CN"/>
        </w:rPr>
        <w:t>政府性基金预算财政拨款收入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预算总额为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4056.88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万元，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28"/>
          <w:szCs w:val="28"/>
          <w:lang w:val="zh-CN"/>
        </w:rPr>
        <w:t>政府性基金预算财政拨款收入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执行总额为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3841.87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万元，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28"/>
          <w:szCs w:val="28"/>
          <w:lang w:val="zh-CN"/>
        </w:rPr>
        <w:t>政府性基金预算财政拨款收入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总体执行进度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94.7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%。具体情况详见表1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-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2。</w:t>
      </w:r>
    </w:p>
    <w:p w14:paraId="7799FD17">
      <w:pPr>
        <w:spacing w:line="600" w:lineRule="exact"/>
        <w:ind w:firstLine="562" w:firstLineChars="200"/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sz w:val="28"/>
          <w:szCs w:val="28"/>
        </w:rPr>
        <w:t>表1-2年度预算执行表</w:t>
      </w:r>
    </w:p>
    <w:p w14:paraId="31A4708B">
      <w:pPr>
        <w:widowControl/>
        <w:adjustRightInd w:val="0"/>
        <w:snapToGrid w:val="0"/>
        <w:spacing w:line="620" w:lineRule="exact"/>
        <w:ind w:right="1240" w:firstLine="562" w:firstLineChars="200"/>
        <w:contextualSpacing/>
        <w:jc w:val="righ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  <w:shd w:val="clear" w:color="auto" w:fill="FFFFFF"/>
          <w:lang w:val="zh-CN"/>
        </w:rPr>
      </w:pPr>
    </w:p>
    <w:tbl>
      <w:tblPr>
        <w:tblStyle w:val="5"/>
        <w:tblpPr w:leftFromText="180" w:rightFromText="180" w:vertAnchor="text" w:horzAnchor="page" w:tblpX="1563" w:tblpY="224"/>
        <w:tblOverlap w:val="never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2127"/>
        <w:gridCol w:w="1984"/>
        <w:gridCol w:w="2126"/>
      </w:tblGrid>
      <w:tr w14:paraId="4738B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184A811C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项目名称</w:t>
            </w:r>
          </w:p>
        </w:tc>
        <w:tc>
          <w:tcPr>
            <w:tcW w:w="2127" w:type="dxa"/>
            <w:tcBorders>
              <w:bottom w:val="single" w:color="auto" w:sz="4" w:space="0"/>
            </w:tcBorders>
          </w:tcPr>
          <w:p w14:paraId="4C2F2DF4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度</w:t>
            </w:r>
            <w:r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总预算</w:t>
            </w: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（万元）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46D4FD25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预算执行</w:t>
            </w: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（万元）</w:t>
            </w:r>
          </w:p>
        </w:tc>
        <w:tc>
          <w:tcPr>
            <w:tcW w:w="2126" w:type="dxa"/>
          </w:tcPr>
          <w:p w14:paraId="35A7AA92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执行率（%）</w:t>
            </w: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（万元）</w:t>
            </w:r>
          </w:p>
        </w:tc>
      </w:tr>
      <w:tr w14:paraId="26BF6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943" w:type="dxa"/>
          </w:tcPr>
          <w:p w14:paraId="08C60E34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  <w:t>一、一般公共预算财政拨款收入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648C2D"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6696.09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0BF1D3D"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5706.5</w:t>
            </w:r>
          </w:p>
        </w:tc>
        <w:tc>
          <w:tcPr>
            <w:tcW w:w="2126" w:type="dxa"/>
          </w:tcPr>
          <w:p w14:paraId="7D6AF1E0"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85.22%</w:t>
            </w:r>
          </w:p>
        </w:tc>
      </w:tr>
      <w:tr w14:paraId="4AA8B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943" w:type="dxa"/>
          </w:tcPr>
          <w:p w14:paraId="331F6604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  <w:t>二、政府性基金预算财政拨款收入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1F2692"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4656.88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35A70FA"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3841.87</w:t>
            </w:r>
          </w:p>
        </w:tc>
        <w:tc>
          <w:tcPr>
            <w:tcW w:w="2126" w:type="dxa"/>
          </w:tcPr>
          <w:p w14:paraId="439DAB05"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94.7%</w:t>
            </w:r>
          </w:p>
        </w:tc>
      </w:tr>
      <w:tr w14:paraId="26389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943" w:type="dxa"/>
          </w:tcPr>
          <w:p w14:paraId="3D700478">
            <w:pPr>
              <w:widowControl/>
              <w:pBdr>
                <w:between w:val="single" w:color="auto" w:sz="4" w:space="1"/>
              </w:pBd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8"/>
                <w:szCs w:val="28"/>
                <w:lang w:val="zh-CN"/>
              </w:rPr>
              <w:t>总计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196C22"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10752.97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DDC3644"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9848.37</w:t>
            </w:r>
          </w:p>
        </w:tc>
        <w:tc>
          <w:tcPr>
            <w:tcW w:w="2126" w:type="dxa"/>
          </w:tcPr>
          <w:p w14:paraId="27F6D57C"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88.8%</w:t>
            </w:r>
          </w:p>
        </w:tc>
      </w:tr>
    </w:tbl>
    <w:p w14:paraId="1B1C30D6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</w:p>
    <w:p w14:paraId="6AD5DB75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三、部门整体预算绩效管理情况</w:t>
      </w:r>
    </w:p>
    <w:p w14:paraId="4165DBDA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（一）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部门预算项目绩效管理</w:t>
      </w: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。</w:t>
      </w:r>
    </w:p>
    <w:p w14:paraId="69AF8073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1.部门绩效目标制定</w:t>
      </w:r>
    </w:p>
    <w:p w14:paraId="638608D0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按照</w:t>
      </w: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市财政局</w:t>
      </w:r>
      <w:r>
        <w:rPr>
          <w:rFonts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部门预算编制通知要求，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市自然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en-US" w:eastAsia="zh-CN"/>
        </w:rPr>
        <w:t>资源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和规划局</w:t>
      </w:r>
      <w:r>
        <w:rPr>
          <w:rFonts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按时完成部门年初预算编制工作。在编制过程中，认真核实单位实际财政供养人数和单位实有编制情况，正确编制人员经费和公用经费，做到尽量细化项目资金支出预算范围和科目，及时上报</w:t>
      </w: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市财政对口科室</w:t>
      </w:r>
      <w:r>
        <w:rPr>
          <w:rFonts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进行审核，</w:t>
      </w: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同时</w:t>
      </w:r>
      <w:r>
        <w:rPr>
          <w:rFonts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按要求完成绩效目标的填报工作。</w:t>
      </w:r>
    </w:p>
    <w:p w14:paraId="174C1723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  <w:lang w:val="zh-CN"/>
        </w:rPr>
      </w:pP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2.</w:t>
      </w: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  <w:lang w:val="zh-CN"/>
        </w:rPr>
        <w:t>目标实现</w:t>
      </w:r>
    </w:p>
    <w:p w14:paraId="2BB11F59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  <w:lang w:val="zh-CN"/>
        </w:rPr>
        <w:t>2022人员类项目绩效数量指标为足额保障率</w:t>
      </w: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100%</w:t>
      </w: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  <w:lang w:val="zh-CN"/>
        </w:rPr>
        <w:t>，运转类项目绩效数量指标为</w:t>
      </w:r>
      <w:r>
        <w:rPr>
          <w:rFonts w:hint="eastAsia" w:cs="仿宋_GB2312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科目调整次数不超过10次,完成率100%。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特定目标类项目共58个，完成数量指标的项目52个，完成率89.66%。</w:t>
      </w:r>
    </w:p>
    <w:p w14:paraId="58C0EC29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3.支出控制</w:t>
      </w:r>
    </w:p>
    <w:p w14:paraId="7E08E6D3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市自然资源和规划局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2022年度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支出控制到位。根据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单位实际情况，对部门预算进行动态调整，严格按照预算追加流程要求，202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年部门预算中期调整金额为</w:t>
      </w:r>
      <w:r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4775.2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万元，其中财政收回数为99.89万元，部门对预算资金及时清收，绩效运行进度正常。</w:t>
      </w:r>
    </w:p>
    <w:p w14:paraId="098613AB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“办公费、印刷费、水费、电费、物业管理费、维修（护）费、培训费、会议费”8个科目年初预算数与决算数偏差程度为18.4%，偏差度较小。</w:t>
      </w:r>
    </w:p>
    <w:p w14:paraId="5156EF86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4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.执行进度及预算完成情况</w:t>
      </w:r>
    </w:p>
    <w:p w14:paraId="65722887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市自然资源和规划局部门202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年预算执行进度为88.8%，执行情况较好，年终无预算结余和违规记录。</w:t>
      </w:r>
    </w:p>
    <w:p w14:paraId="1BB4B6E1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（二）结果应用情况。</w:t>
      </w:r>
    </w:p>
    <w:p w14:paraId="741E79F0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1.信息公开</w:t>
      </w:r>
    </w:p>
    <w:p w14:paraId="3F654ACA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595757"/>
          <w:sz w:val="28"/>
          <w:szCs w:val="28"/>
          <w:shd w:val="clear" w:color="auto" w:fill="FFFFFF"/>
        </w:rPr>
      </w:pPr>
      <w:r>
        <w:rPr>
          <w:rFonts w:asciiTheme="minorEastAsia" w:hAnsiTheme="minorEastAsia" w:eastAsiaTheme="minorEastAsia"/>
          <w:color w:val="595757"/>
          <w:sz w:val="28"/>
          <w:szCs w:val="28"/>
          <w:shd w:val="clear" w:color="auto" w:fill="FFFFFF"/>
        </w:rPr>
        <w:t>本部门的预决算编制均按照</w:t>
      </w:r>
      <w:r>
        <w:rPr>
          <w:rFonts w:hint="eastAsia" w:asciiTheme="minorEastAsia" w:hAnsiTheme="minorEastAsia" w:eastAsiaTheme="minorEastAsia"/>
          <w:color w:val="595757"/>
          <w:sz w:val="28"/>
          <w:szCs w:val="28"/>
          <w:shd w:val="clear" w:color="auto" w:fill="FFFFFF"/>
        </w:rPr>
        <w:t>市</w:t>
      </w:r>
      <w:r>
        <w:rPr>
          <w:rFonts w:asciiTheme="minorEastAsia" w:hAnsiTheme="minorEastAsia" w:eastAsiaTheme="minorEastAsia"/>
          <w:color w:val="595757"/>
          <w:sz w:val="28"/>
          <w:szCs w:val="28"/>
          <w:shd w:val="clear" w:color="auto" w:fill="FFFFFF"/>
        </w:rPr>
        <w:t>财政局下达的相关文件指标进行编制，按时完成编制工作，</w:t>
      </w:r>
      <w:r>
        <w:rPr>
          <w:rFonts w:hint="eastAsia" w:asciiTheme="minorEastAsia" w:hAnsiTheme="minorEastAsia" w:eastAsiaTheme="minorEastAsia"/>
          <w:color w:val="595757"/>
          <w:sz w:val="28"/>
          <w:szCs w:val="28"/>
          <w:shd w:val="clear" w:color="auto" w:fill="FFFFFF"/>
        </w:rPr>
        <w:t>预</w:t>
      </w:r>
      <w:r>
        <w:rPr>
          <w:rFonts w:asciiTheme="minorEastAsia" w:hAnsiTheme="minorEastAsia" w:eastAsiaTheme="minorEastAsia"/>
          <w:color w:val="595757"/>
          <w:sz w:val="28"/>
          <w:szCs w:val="28"/>
          <w:shd w:val="clear" w:color="auto" w:fill="FFFFFF"/>
        </w:rPr>
        <w:t>决算报表和说明均在</w:t>
      </w:r>
      <w:r>
        <w:rPr>
          <w:rFonts w:hint="eastAsia" w:asciiTheme="minorEastAsia" w:hAnsiTheme="minorEastAsia" w:eastAsiaTheme="minorEastAsia"/>
          <w:color w:val="595757"/>
          <w:sz w:val="28"/>
          <w:szCs w:val="28"/>
          <w:shd w:val="clear" w:color="auto" w:fill="FFFFFF"/>
        </w:rPr>
        <w:t>遂宁市</w:t>
      </w:r>
      <w:r>
        <w:rPr>
          <w:rFonts w:asciiTheme="minorEastAsia" w:hAnsiTheme="minorEastAsia" w:eastAsiaTheme="minorEastAsia"/>
          <w:color w:val="595757"/>
          <w:sz w:val="28"/>
          <w:szCs w:val="28"/>
          <w:shd w:val="clear" w:color="auto" w:fill="FFFFFF"/>
        </w:rPr>
        <w:t>政府门户网站公开。绩效目标也按照有关文件如实进行了填报</w:t>
      </w:r>
      <w:r>
        <w:rPr>
          <w:rFonts w:hint="eastAsia" w:asciiTheme="minorEastAsia" w:hAnsiTheme="minorEastAsia" w:eastAsiaTheme="minorEastAsia"/>
          <w:color w:val="595757"/>
          <w:sz w:val="28"/>
          <w:szCs w:val="28"/>
          <w:shd w:val="clear" w:color="auto" w:fill="FFFFFF"/>
        </w:rPr>
        <w:t>。</w:t>
      </w:r>
    </w:p>
    <w:p w14:paraId="6A004A58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2.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问题整改</w:t>
      </w:r>
    </w:p>
    <w:p w14:paraId="5D5BD90C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市自然资源和规划局202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年度目标绩效完成程度较好，不存在预算管理违规记录。</w:t>
      </w:r>
    </w:p>
    <w:p w14:paraId="05D8DFA9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四、评价结论及建议</w:t>
      </w:r>
    </w:p>
    <w:p w14:paraId="6E3FEE2A">
      <w:pPr>
        <w:widowControl/>
        <w:adjustRightInd w:val="0"/>
        <w:snapToGrid w:val="0"/>
        <w:spacing w:line="580" w:lineRule="exact"/>
        <w:ind w:firstLine="560" w:firstLineChars="200"/>
        <w:contextualSpacing/>
        <w:jc w:val="lef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（一）评价结论</w:t>
      </w:r>
    </w:p>
    <w:p w14:paraId="10A6D29D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</w:rPr>
        <w:t>2022</w:t>
      </w: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年，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市自然资源和规划局</w:t>
      </w: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积极履职，强化管理，较好地完成了年度工作目标。通过加强预算收支管理，不断建立健全内部管理制度，梳理内部管理流程，部门整体支出管理水平得到提升。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本次整体支出绩效评价自评得分79.13（总分90分）。</w:t>
      </w:r>
    </w:p>
    <w:p w14:paraId="25E00C37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（二）存在问题</w:t>
      </w:r>
    </w:p>
    <w:p w14:paraId="729D2004"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项目预算不够精准。对下年度工作的统筹考虑还不够周全和详细，在编制预算时对全年工作进行充分调研和论证不够，导致编制出的预算不够全面和准确，部分预算项目支出进度不够及时。</w:t>
      </w:r>
    </w:p>
    <w:p w14:paraId="130C78F0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（三）改进建议</w:t>
      </w:r>
    </w:p>
    <w:p w14:paraId="100E7D27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一是强化预算执行，加快项目实施进度，不断提高资金支付率，确保项目有序开展。二是加强项目资金管理，严格实行项目管理程序化，实现项目申报、实施、拨付、评价全流程监督与控制，规范专项资金管理，提高专项资金的使用效益。</w:t>
      </w:r>
    </w:p>
    <w:p w14:paraId="4BBD16DC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</w:p>
    <w:p w14:paraId="0A945282">
      <w:pPr>
        <w:widowControl/>
        <w:adjustRightInd w:val="0"/>
        <w:snapToGrid w:val="0"/>
        <w:spacing w:line="620" w:lineRule="exact"/>
        <w:ind w:firstLine="560" w:firstLineChars="200"/>
        <w:contextualSpacing/>
        <w:jc w:val="left"/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</w:pP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附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表</w:t>
      </w:r>
      <w:r>
        <w:rPr>
          <w:rFonts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：</w:t>
      </w:r>
      <w:r>
        <w:rPr>
          <w:rFonts w:hint="eastAsia" w:asciiTheme="minorEastAsia" w:hAnsiTheme="minorEastAsia" w:eastAsiaTheme="minorEastAsia"/>
          <w:color w:val="000000"/>
          <w:kern w:val="0"/>
          <w:sz w:val="28"/>
          <w:szCs w:val="28"/>
          <w:shd w:val="clear" w:color="auto" w:fill="FFFFFF"/>
          <w:lang w:val="zh-CN"/>
        </w:rPr>
        <w:t>市级部门整体支出绩效自评表</w:t>
      </w:r>
    </w:p>
    <w:p w14:paraId="3ED4B1E3">
      <w:pPr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757"/>
    <w:rsid w:val="0002398F"/>
    <w:rsid w:val="00084E7A"/>
    <w:rsid w:val="0009445A"/>
    <w:rsid w:val="000B6A2F"/>
    <w:rsid w:val="00125CE4"/>
    <w:rsid w:val="001537A4"/>
    <w:rsid w:val="00167398"/>
    <w:rsid w:val="001F7B85"/>
    <w:rsid w:val="002038BD"/>
    <w:rsid w:val="002B1184"/>
    <w:rsid w:val="002E3A3C"/>
    <w:rsid w:val="00340BE4"/>
    <w:rsid w:val="00367757"/>
    <w:rsid w:val="00393C9A"/>
    <w:rsid w:val="003E4A0D"/>
    <w:rsid w:val="00427394"/>
    <w:rsid w:val="00451A01"/>
    <w:rsid w:val="00476030"/>
    <w:rsid w:val="0048417A"/>
    <w:rsid w:val="004E4C6B"/>
    <w:rsid w:val="00505866"/>
    <w:rsid w:val="00553317"/>
    <w:rsid w:val="00560093"/>
    <w:rsid w:val="0058745E"/>
    <w:rsid w:val="00596F29"/>
    <w:rsid w:val="005A673A"/>
    <w:rsid w:val="005B35E6"/>
    <w:rsid w:val="005E6B1C"/>
    <w:rsid w:val="0064480A"/>
    <w:rsid w:val="006B2D0C"/>
    <w:rsid w:val="007872A0"/>
    <w:rsid w:val="00832D5A"/>
    <w:rsid w:val="008514F7"/>
    <w:rsid w:val="00857FF0"/>
    <w:rsid w:val="008A2141"/>
    <w:rsid w:val="008A29A4"/>
    <w:rsid w:val="008A491E"/>
    <w:rsid w:val="008F3A81"/>
    <w:rsid w:val="009611C7"/>
    <w:rsid w:val="009F7616"/>
    <w:rsid w:val="00A1150D"/>
    <w:rsid w:val="00A379CB"/>
    <w:rsid w:val="00A43BC6"/>
    <w:rsid w:val="00A86CDF"/>
    <w:rsid w:val="00AA62D5"/>
    <w:rsid w:val="00B017B4"/>
    <w:rsid w:val="00B223DB"/>
    <w:rsid w:val="00BA52AB"/>
    <w:rsid w:val="00BB0693"/>
    <w:rsid w:val="00BB39E9"/>
    <w:rsid w:val="00BD7001"/>
    <w:rsid w:val="00C02EE7"/>
    <w:rsid w:val="00CC6196"/>
    <w:rsid w:val="00CC6335"/>
    <w:rsid w:val="00CC73DA"/>
    <w:rsid w:val="00CE7110"/>
    <w:rsid w:val="00CF7481"/>
    <w:rsid w:val="00D85794"/>
    <w:rsid w:val="00D97F03"/>
    <w:rsid w:val="00DA5D76"/>
    <w:rsid w:val="00E16BB1"/>
    <w:rsid w:val="00E41F6C"/>
    <w:rsid w:val="00EA411B"/>
    <w:rsid w:val="00EF4972"/>
    <w:rsid w:val="00F26D12"/>
    <w:rsid w:val="00FC1462"/>
    <w:rsid w:val="00FC7F0B"/>
    <w:rsid w:val="00FF152C"/>
    <w:rsid w:val="73E9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1 Char"/>
    <w:basedOn w:val="6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790EC82-46CB-4972-A001-A9D2B02CAD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2799</Words>
  <Characters>3057</Characters>
  <Lines>22</Lines>
  <Paragraphs>6</Paragraphs>
  <TotalTime>312</TotalTime>
  <ScaleCrop>false</ScaleCrop>
  <LinksUpToDate>false</LinksUpToDate>
  <CharactersWithSpaces>3064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2023-04-13T02:44:00Z</dcterms:created>
  <dc:creator>Liu Qi</dc:creator>
  <cp:lastModifiedBy> </cp:lastModifiedBy>
  <cp:lastPrinted>2023-04-17T02:22:00Z</cp:lastPrinted>
  <dcterms:modified xsi:type="dcterms:W3CDTF">2025-08-21T08:54:01Z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eyJoZGlkIjoiODIwYTYzODk4MzliNTdlNDBhOWE5MTBhMDMxYjAwOGEiLCJ1c2VySWQiOiI0NDE3MjU5MjgifQ==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4764F27828FC49739441930244A5E6DC_12</vt:lpwstr>
  </property>
</Properties>
</file>