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600" w:lineRule="exact"/>
        <w:textAlignment w:val="auto"/>
        <w:rPr>
          <w:rFonts w:hint="default" w:ascii="仿宋_GB2312" w:hAnsi="仿宋_GB2312" w:eastAsia="仿宋_GB2312" w:cs="仿宋_GB2312"/>
          <w:sz w:val="32"/>
          <w:szCs w:val="32"/>
          <w:lang w:val="en-US" w:eastAsia="zh-CN"/>
        </w:rPr>
      </w:pPr>
      <w:bookmarkStart w:id="1" w:name="_GoBack"/>
      <w:bookmarkEnd w:id="1"/>
      <w:r>
        <w:rPr>
          <w:rFonts w:hint="eastAsia" w:ascii="仿宋_GB2312" w:hAnsi="仿宋_GB2312" w:eastAsia="仿宋_GB2312" w:cs="仿宋_GB2312"/>
          <w:sz w:val="32"/>
          <w:szCs w:val="32"/>
          <w:lang w:val="zh-CN" w:eastAsia="zh-CN"/>
        </w:rPr>
        <w:t>附件</w:t>
      </w:r>
      <w:r>
        <w:rPr>
          <w:rFonts w:hint="eastAsia" w:ascii="仿宋_GB2312" w:hAnsi="仿宋_GB2312" w:eastAsia="仿宋_GB2312" w:cs="仿宋_GB2312"/>
          <w:sz w:val="32"/>
          <w:szCs w:val="32"/>
          <w:lang w:val="en-US" w:eastAsia="zh-CN"/>
        </w:rPr>
        <w:t>1</w:t>
      </w: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eastAsia" w:eastAsia="方正小标宋简体" w:cs="Times New Roman"/>
          <w:b w:val="0"/>
          <w:bCs/>
          <w:sz w:val="44"/>
          <w:szCs w:val="44"/>
          <w:highlight w:val="none"/>
          <w:shd w:val="clear" w:color="auto" w:fill="FFFFFF"/>
          <w:lang w:eastAsia="zh-CN"/>
        </w:rPr>
      </w:pPr>
      <w:r>
        <w:rPr>
          <w:rFonts w:hint="eastAsia" w:eastAsia="方正小标宋简体" w:cs="Times New Roman"/>
          <w:b w:val="0"/>
          <w:bCs/>
          <w:sz w:val="44"/>
          <w:szCs w:val="44"/>
          <w:highlight w:val="none"/>
          <w:shd w:val="clear" w:color="auto" w:fill="FFFFFF"/>
          <w:lang w:eastAsia="zh-CN"/>
        </w:rPr>
        <w:t>遂宁市土地储备中心</w:t>
      </w: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none"/>
          <w:shd w:val="clear" w:color="auto" w:fill="FFFFFF"/>
        </w:rPr>
      </w:pPr>
      <w:r>
        <w:rPr>
          <w:rFonts w:hint="eastAsia" w:eastAsia="方正小标宋简体" w:cs="Times New Roman"/>
          <w:b w:val="0"/>
          <w:bCs/>
          <w:sz w:val="44"/>
          <w:szCs w:val="44"/>
          <w:highlight w:val="none"/>
          <w:shd w:val="clear" w:color="auto" w:fill="FFFFFF"/>
          <w:lang w:eastAsia="zh-CN"/>
        </w:rPr>
        <w:t>关于</w:t>
      </w:r>
      <w:r>
        <w:rPr>
          <w:rFonts w:hint="default" w:ascii="Times New Roman" w:hAnsi="Times New Roman" w:eastAsia="方正小标宋简体" w:cs="Times New Roman"/>
          <w:b w:val="0"/>
          <w:bCs/>
          <w:sz w:val="44"/>
          <w:szCs w:val="44"/>
          <w:highlight w:val="none"/>
          <w:shd w:val="clear" w:color="auto" w:fill="FFFFFF"/>
          <w:lang w:eastAsia="zh-CN"/>
        </w:rPr>
        <w:t>部门整体支出</w:t>
      </w:r>
      <w:r>
        <w:rPr>
          <w:rFonts w:hint="eastAsia" w:eastAsia="方正小标宋简体" w:cs="Times New Roman"/>
          <w:b w:val="0"/>
          <w:bCs/>
          <w:sz w:val="44"/>
          <w:szCs w:val="44"/>
          <w:highlight w:val="none"/>
          <w:shd w:val="clear" w:color="auto" w:fill="FFFFFF"/>
          <w:lang w:eastAsia="zh-CN"/>
        </w:rPr>
        <w:t>的</w:t>
      </w:r>
      <w:r>
        <w:rPr>
          <w:rFonts w:hint="default" w:ascii="Times New Roman" w:hAnsi="Times New Roman" w:eastAsia="方正小标宋简体" w:cs="Times New Roman"/>
          <w:b w:val="0"/>
          <w:bCs/>
          <w:sz w:val="44"/>
          <w:szCs w:val="44"/>
          <w:highlight w:val="none"/>
          <w:shd w:val="clear" w:color="auto" w:fill="FFFFFF"/>
          <w:lang w:eastAsia="zh-CN"/>
        </w:rPr>
        <w:t>自评报告</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60" w:firstLineChars="200"/>
        <w:contextualSpacing/>
        <w:jc w:val="both"/>
        <w:textAlignment w:val="auto"/>
        <w:outlineLvl w:val="9"/>
        <w:rPr>
          <w:rFonts w:hint="default" w:ascii="Times New Roman" w:hAnsi="Times New Roman" w:eastAsia="黑体" w:cs="Times New Roman"/>
          <w:color w:val="000000"/>
          <w:kern w:val="0"/>
          <w:sz w:val="33"/>
          <w:szCs w:val="33"/>
          <w:highlight w:val="none"/>
          <w:shd w:val="clear" w:color="auto" w:fill="FFFFFF"/>
        </w:rPr>
      </w:pP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0" w:leftChars="0" w:right="0" w:rightChars="0" w:firstLine="660" w:firstLineChars="200"/>
        <w:contextualSpacing/>
        <w:jc w:val="both"/>
        <w:textAlignment w:val="auto"/>
        <w:outlineLvl w:val="9"/>
        <w:rPr>
          <w:rFonts w:hint="default" w:ascii="Times New Roman" w:hAnsi="Times New Roman" w:cs="Times New Roman"/>
          <w:sz w:val="33"/>
          <w:szCs w:val="33"/>
        </w:rPr>
      </w:pPr>
      <w:r>
        <w:rPr>
          <w:rFonts w:hint="eastAsia" w:ascii="Times New Roman" w:hAnsi="Times New Roman" w:eastAsia="黑体" w:cs="Times New Roman"/>
          <w:color w:val="000000"/>
          <w:kern w:val="0"/>
          <w:sz w:val="33"/>
          <w:szCs w:val="33"/>
          <w:highlight w:val="none"/>
          <w:shd w:val="clear" w:color="auto" w:fill="FFFFFF"/>
          <w:lang w:val="zh-CN"/>
        </w:rPr>
        <w:t>一、</w:t>
      </w:r>
      <w:r>
        <w:rPr>
          <w:rFonts w:hint="default" w:ascii="Times New Roman" w:hAnsi="Times New Roman" w:eastAsia="黑体" w:cs="Times New Roman"/>
          <w:color w:val="000000"/>
          <w:kern w:val="0"/>
          <w:sz w:val="33"/>
          <w:szCs w:val="33"/>
          <w:highlight w:val="none"/>
          <w:shd w:val="clear" w:color="auto" w:fill="FFFFFF"/>
          <w:lang w:val="zh-CN"/>
        </w:rPr>
        <w:t>部门（单位）基本情况</w:t>
      </w:r>
    </w:p>
    <w:p>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（一）</w:t>
      </w:r>
      <w:r>
        <w:rPr>
          <w:rFonts w:hint="default" w:ascii="仿宋_GB2312" w:hAnsi="仿宋_GB2312" w:eastAsia="仿宋_GB2312" w:cs="仿宋_GB2312"/>
          <w:b/>
          <w:bCs/>
          <w:sz w:val="32"/>
          <w:szCs w:val="32"/>
          <w:lang w:val="zh-CN"/>
        </w:rPr>
        <w:t>机构组成。</w:t>
      </w:r>
      <w:r>
        <w:rPr>
          <w:rFonts w:hint="eastAsia" w:ascii="仿宋_GB2312" w:hAnsi="仿宋_GB2312" w:eastAsia="仿宋_GB2312" w:cs="仿宋_GB2312"/>
          <w:sz w:val="32"/>
          <w:szCs w:val="32"/>
          <w:lang w:val="zh-CN"/>
        </w:rPr>
        <w:t>市土地储备中心为市自然资源和规划局下属财政全额拨款事业单位，</w:t>
      </w:r>
      <w:r>
        <w:rPr>
          <w:rFonts w:hint="eastAsia" w:ascii="仿宋_GB2312" w:hAnsi="仿宋_GB2312" w:eastAsia="仿宋_GB2312" w:cs="仿宋_GB2312"/>
          <w:sz w:val="32"/>
          <w:szCs w:val="32"/>
          <w:lang w:val="zh-CN" w:eastAsia="zh-CN"/>
        </w:rPr>
        <w:t>内设</w:t>
      </w:r>
      <w:r>
        <w:rPr>
          <w:rFonts w:hint="eastAsia" w:ascii="仿宋_GB2312" w:hAnsi="仿宋_GB2312" w:eastAsia="仿宋_GB2312" w:cs="仿宋_GB2312"/>
          <w:sz w:val="32"/>
          <w:szCs w:val="32"/>
          <w:lang w:val="zh-CN"/>
        </w:rPr>
        <w:t>办公室、财务科、土地储备科、土地经营科4个</w:t>
      </w:r>
      <w:r>
        <w:rPr>
          <w:rFonts w:hint="eastAsia" w:ascii="仿宋_GB2312" w:hAnsi="仿宋_GB2312" w:eastAsia="仿宋_GB2312" w:cs="仿宋_GB2312"/>
          <w:sz w:val="32"/>
          <w:szCs w:val="32"/>
          <w:lang w:val="zh-CN" w:eastAsia="zh-CN"/>
        </w:rPr>
        <w:t>科室。</w:t>
      </w:r>
    </w:p>
    <w:p>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sz w:val="32"/>
          <w:szCs w:val="32"/>
          <w:lang w:val="zh-CN"/>
        </w:rPr>
      </w:pPr>
      <w:r>
        <w:rPr>
          <w:rFonts w:hint="default" w:ascii="仿宋_GB2312" w:hAnsi="仿宋_GB2312" w:eastAsia="仿宋_GB2312" w:cs="仿宋_GB2312"/>
          <w:b/>
          <w:bCs/>
          <w:sz w:val="32"/>
          <w:szCs w:val="32"/>
          <w:lang w:val="zh-CN"/>
        </w:rPr>
        <w:t>（二）机构职能</w:t>
      </w:r>
      <w:r>
        <w:rPr>
          <w:rFonts w:hint="eastAsia" w:ascii="仿宋_GB2312" w:hAnsi="仿宋_GB2312" w:eastAsia="仿宋_GB2312" w:cs="仿宋_GB2312"/>
          <w:b/>
          <w:bCs/>
          <w:sz w:val="32"/>
          <w:szCs w:val="32"/>
          <w:lang w:val="zh-CN"/>
        </w:rPr>
        <w:t>。</w:t>
      </w:r>
      <w:r>
        <w:rPr>
          <w:rFonts w:hint="eastAsia" w:ascii="仿宋_GB2312" w:hAnsi="仿宋_GB2312" w:eastAsia="仿宋_GB2312" w:cs="仿宋_GB2312"/>
          <w:sz w:val="32"/>
          <w:szCs w:val="32"/>
          <w:lang w:val="zh-CN"/>
        </w:rPr>
        <w:t>市土地储备中心负责承担市本级土地储备工作；负责建立市本级土地储备库；负责市本级储备土地供应的前期工作；负责筹措土地储备资金等工作。</w:t>
      </w:r>
    </w:p>
    <w:p>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仿宋_GB2312" w:hAnsi="仿宋_GB2312" w:eastAsia="仿宋_GB2312" w:cs="仿宋_GB2312"/>
          <w:sz w:val="32"/>
          <w:szCs w:val="32"/>
          <w:lang w:val="zh-CN"/>
        </w:rPr>
      </w:pPr>
      <w:r>
        <w:rPr>
          <w:rFonts w:hint="default" w:ascii="仿宋_GB2312" w:hAnsi="仿宋_GB2312" w:eastAsia="仿宋_GB2312" w:cs="仿宋_GB2312"/>
          <w:b/>
          <w:bCs/>
          <w:sz w:val="32"/>
          <w:szCs w:val="32"/>
          <w:lang w:val="zh-CN"/>
        </w:rPr>
        <w:t>（</w:t>
      </w:r>
      <w:r>
        <w:rPr>
          <w:rFonts w:hint="eastAsia" w:ascii="仿宋_GB2312" w:hAnsi="仿宋_GB2312" w:eastAsia="仿宋_GB2312" w:cs="仿宋_GB2312"/>
          <w:b/>
          <w:bCs/>
          <w:sz w:val="32"/>
          <w:szCs w:val="32"/>
          <w:lang w:val="zh-CN"/>
        </w:rPr>
        <w:t>三</w:t>
      </w:r>
      <w:r>
        <w:rPr>
          <w:rFonts w:hint="default" w:ascii="仿宋_GB2312" w:hAnsi="仿宋_GB2312" w:eastAsia="仿宋_GB2312" w:cs="仿宋_GB2312"/>
          <w:b/>
          <w:bCs/>
          <w:sz w:val="32"/>
          <w:szCs w:val="32"/>
          <w:lang w:val="zh-CN"/>
        </w:rPr>
        <w:t>）人员概况</w:t>
      </w:r>
      <w:r>
        <w:rPr>
          <w:rFonts w:hint="eastAsia" w:ascii="仿宋_GB2312" w:hAnsi="仿宋_GB2312" w:eastAsia="仿宋_GB2312" w:cs="仿宋_GB2312"/>
          <w:b/>
          <w:bCs/>
          <w:sz w:val="32"/>
          <w:szCs w:val="32"/>
          <w:lang w:val="zh-CN"/>
        </w:rPr>
        <w:t>。</w:t>
      </w:r>
      <w:r>
        <w:rPr>
          <w:rFonts w:hint="default" w:ascii="仿宋_GB2312" w:hAnsi="仿宋_GB2312" w:eastAsia="仿宋_GB2312" w:cs="仿宋_GB2312"/>
          <w:sz w:val="32"/>
          <w:szCs w:val="32"/>
          <w:lang w:val="zh-CN"/>
        </w:rPr>
        <w:t>截至202</w:t>
      </w: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zh-CN"/>
        </w:rPr>
        <w:t>年末，</w:t>
      </w:r>
      <w:r>
        <w:rPr>
          <w:rFonts w:hint="eastAsia" w:ascii="仿宋_GB2312" w:hAnsi="仿宋_GB2312" w:eastAsia="仿宋_GB2312" w:cs="仿宋_GB2312"/>
          <w:sz w:val="32"/>
          <w:szCs w:val="32"/>
          <w:lang w:val="zh-CN" w:eastAsia="zh-CN"/>
        </w:rPr>
        <w:t>事业</w:t>
      </w:r>
      <w:r>
        <w:rPr>
          <w:rFonts w:hint="eastAsia" w:ascii="仿宋_GB2312" w:hAnsi="仿宋_GB2312" w:eastAsia="仿宋_GB2312" w:cs="仿宋_GB2312"/>
          <w:sz w:val="32"/>
          <w:szCs w:val="32"/>
          <w:lang w:val="zh-CN"/>
        </w:rPr>
        <w:t>编制人数10人，实际在职人数</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zh-CN"/>
        </w:rPr>
        <w:t>人</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zh-CN"/>
        </w:rPr>
        <w:t>其中事业单位管理岗</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zh-CN"/>
        </w:rPr>
        <w:t>人，专业技术岗位</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CN"/>
        </w:rPr>
        <w:t>人</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en-US" w:eastAsia="zh-CN"/>
        </w:rPr>
        <w:t>长期聘用人员2人。</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60" w:firstLineChars="200"/>
        <w:contextualSpacing/>
        <w:jc w:val="both"/>
        <w:textAlignment w:val="auto"/>
        <w:outlineLvl w:val="9"/>
        <w:rPr>
          <w:rFonts w:hint="default" w:ascii="Times New Roman" w:hAnsi="Times New Roman" w:eastAsia="黑体" w:cs="Times New Roman"/>
          <w:color w:val="000000"/>
          <w:kern w:val="0"/>
          <w:sz w:val="33"/>
          <w:szCs w:val="33"/>
          <w:highlight w:val="none"/>
          <w:shd w:val="clear" w:color="auto" w:fill="FFFFFF"/>
        </w:rPr>
      </w:pPr>
      <w:r>
        <w:rPr>
          <w:rFonts w:hint="default" w:ascii="Times New Roman" w:hAnsi="Times New Roman" w:eastAsia="黑体" w:cs="Times New Roman"/>
          <w:color w:val="000000"/>
          <w:kern w:val="0"/>
          <w:sz w:val="33"/>
          <w:szCs w:val="33"/>
          <w:highlight w:val="none"/>
          <w:shd w:val="clear" w:color="auto" w:fill="FFFFFF"/>
        </w:rPr>
        <w:t>二、</w:t>
      </w:r>
      <w:r>
        <w:rPr>
          <w:rFonts w:hint="default" w:ascii="Times New Roman" w:hAnsi="Times New Roman" w:eastAsia="黑体" w:cs="Times New Roman"/>
          <w:color w:val="000000"/>
          <w:kern w:val="0"/>
          <w:sz w:val="33"/>
          <w:szCs w:val="33"/>
          <w:highlight w:val="none"/>
          <w:shd w:val="clear" w:color="auto" w:fill="FFFFFF"/>
          <w:lang w:eastAsia="zh-CN"/>
        </w:rPr>
        <w:t>部门</w:t>
      </w:r>
      <w:r>
        <w:rPr>
          <w:rFonts w:hint="default" w:ascii="Times New Roman" w:hAnsi="Times New Roman" w:eastAsia="黑体" w:cs="Times New Roman"/>
          <w:color w:val="000000"/>
          <w:kern w:val="0"/>
          <w:sz w:val="33"/>
          <w:szCs w:val="33"/>
          <w:highlight w:val="none"/>
          <w:shd w:val="clear" w:color="auto" w:fill="FFFFFF"/>
        </w:rPr>
        <w:t>资金收支情况</w:t>
      </w:r>
    </w:p>
    <w:p>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宋体" w:hAnsi="宋体" w:eastAsia="宋体" w:cs="宋体"/>
          <w:color w:val="000000"/>
          <w:kern w:val="0"/>
          <w:sz w:val="22"/>
          <w:szCs w:val="22"/>
          <w:shd w:val="clear" w:color="auto" w:fill="FFFFFF"/>
          <w:lang w:val="zh-CN"/>
        </w:rPr>
      </w:pPr>
      <w:r>
        <w:rPr>
          <w:rFonts w:hint="default" w:ascii="仿宋_GB2312" w:hAnsi="仿宋_GB2312" w:cs="仿宋_GB2312"/>
          <w:b/>
          <w:bCs/>
          <w:sz w:val="32"/>
          <w:szCs w:val="32"/>
          <w:lang w:val="zh-CN"/>
        </w:rPr>
        <w:t>（一）</w:t>
      </w:r>
      <w:r>
        <w:rPr>
          <w:rFonts w:hint="eastAsia" w:ascii="仿宋_GB2312" w:hAnsi="仿宋_GB2312" w:cs="仿宋_GB2312"/>
          <w:b/>
          <w:bCs/>
          <w:sz w:val="32"/>
          <w:szCs w:val="32"/>
          <w:lang w:val="zh-CN"/>
        </w:rPr>
        <w:t>收入情况</w:t>
      </w:r>
      <w:r>
        <w:rPr>
          <w:rFonts w:hint="default" w:ascii="仿宋_GB2312" w:hAnsi="仿宋_GB2312" w:cs="仿宋_GB2312"/>
          <w:b/>
          <w:bCs/>
          <w:sz w:val="32"/>
          <w:szCs w:val="32"/>
          <w:lang w:val="zh-CN"/>
        </w:rPr>
        <w:t>。</w:t>
      </w:r>
      <w:r>
        <w:rPr>
          <w:rFonts w:hint="eastAsia" w:ascii="仿宋_GB2312" w:hAnsi="仿宋_GB2312" w:cs="仿宋_GB2312"/>
          <w:sz w:val="32"/>
          <w:szCs w:val="32"/>
          <w:lang w:val="en-US" w:eastAsia="zh-CN"/>
        </w:rPr>
        <w:t>2024年</w:t>
      </w:r>
      <w:r>
        <w:rPr>
          <w:rFonts w:hint="eastAsia" w:ascii="仿宋_GB2312" w:hAnsi="仿宋_GB2312" w:cs="仿宋_GB2312"/>
          <w:sz w:val="32"/>
          <w:szCs w:val="32"/>
          <w:lang w:val="zh-CN"/>
        </w:rPr>
        <w:t>市土地储备中心</w:t>
      </w:r>
      <w:r>
        <w:rPr>
          <w:rFonts w:hint="eastAsia" w:ascii="仿宋_GB2312" w:hAnsi="仿宋_GB2312" w:cs="仿宋_GB2312"/>
          <w:sz w:val="32"/>
          <w:szCs w:val="32"/>
          <w:lang w:val="en-US" w:eastAsia="zh-CN"/>
        </w:rPr>
        <w:t>年初预算216.93万元，追加（减）8200.23万元，调整后预算收入总额为8417.16万元，决算数为8406.68万元。具体情况详见下表。</w:t>
      </w:r>
    </w:p>
    <w:p>
      <w:pPr>
        <w:keepNext w:val="0"/>
        <w:keepLines w:val="0"/>
        <w:pageBreakBefore w:val="0"/>
        <w:kinsoku/>
        <w:wordWrap/>
        <w:overflowPunct/>
        <w:topLinePunct w:val="0"/>
        <w:autoSpaceDE/>
        <w:autoSpaceDN/>
        <w:bidi w:val="0"/>
        <w:adjustRightInd/>
        <w:snapToGrid/>
        <w:spacing w:line="300" w:lineRule="exact"/>
        <w:jc w:val="right"/>
        <w:textAlignment w:val="auto"/>
        <w:rPr>
          <w:rFonts w:hint="default" w:ascii="Times New Roman" w:hAnsi="Times New Roman" w:eastAsia="仿宋_GB2312" w:cs="Times New Roman"/>
          <w:bCs w:val="0"/>
          <w:color w:val="auto"/>
          <w:kern w:val="2"/>
          <w:sz w:val="24"/>
          <w:szCs w:val="24"/>
          <w:vertAlign w:val="baseline"/>
          <w:lang w:val="zh-CN" w:eastAsia="zh-CN" w:bidi="ar-SA"/>
        </w:rPr>
      </w:pPr>
      <w:r>
        <w:rPr>
          <w:rFonts w:hint="eastAsia" w:ascii="Times New Roman" w:hAnsi="Times New Roman" w:eastAsia="仿宋_GB2312" w:cs="Times New Roman"/>
          <w:bCs w:val="0"/>
          <w:color w:val="auto"/>
          <w:kern w:val="2"/>
          <w:sz w:val="24"/>
          <w:szCs w:val="24"/>
          <w:vertAlign w:val="baseline"/>
          <w:lang w:val="zh-CN" w:eastAsia="zh-CN" w:bidi="ar-SA"/>
        </w:rPr>
        <w:t>单位：万元</w:t>
      </w:r>
    </w:p>
    <w:tbl>
      <w:tblPr>
        <w:tblStyle w:val="12"/>
        <w:tblpPr w:leftFromText="180" w:rightFromText="180" w:vertAnchor="text" w:horzAnchor="page" w:tblpX="1581" w:tblpY="224"/>
        <w:tblOverlap w:val="never"/>
        <w:tblW w:w="8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24"/>
        <w:gridCol w:w="1558"/>
        <w:gridCol w:w="1116"/>
        <w:gridCol w:w="1282"/>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42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项目名称</w:t>
            </w:r>
          </w:p>
        </w:tc>
        <w:tc>
          <w:tcPr>
            <w:tcW w:w="155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年初预算</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追加（减）</w:t>
            </w:r>
          </w:p>
        </w:tc>
        <w:tc>
          <w:tcPr>
            <w:tcW w:w="128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调整后预算</w:t>
            </w:r>
          </w:p>
        </w:tc>
        <w:tc>
          <w:tcPr>
            <w:tcW w:w="151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342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一、一般公共预算财政拨款收入</w:t>
            </w:r>
          </w:p>
        </w:tc>
        <w:tc>
          <w:tcPr>
            <w:tcW w:w="155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216.93</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19.4</w:t>
            </w:r>
          </w:p>
        </w:tc>
        <w:tc>
          <w:tcPr>
            <w:tcW w:w="128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236.33</w:t>
            </w:r>
          </w:p>
        </w:tc>
        <w:tc>
          <w:tcPr>
            <w:tcW w:w="151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225.85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42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二、政府性基金预算财政拨款收入</w:t>
            </w:r>
          </w:p>
        </w:tc>
        <w:tc>
          <w:tcPr>
            <w:tcW w:w="155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8180.83</w:t>
            </w:r>
          </w:p>
        </w:tc>
        <w:tc>
          <w:tcPr>
            <w:tcW w:w="128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8180.83</w:t>
            </w:r>
          </w:p>
        </w:tc>
        <w:tc>
          <w:tcPr>
            <w:tcW w:w="151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8180.83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42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三、其他收入</w:t>
            </w:r>
          </w:p>
        </w:tc>
        <w:tc>
          <w:tcPr>
            <w:tcW w:w="155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0</w:t>
            </w:r>
          </w:p>
        </w:tc>
        <w:tc>
          <w:tcPr>
            <w:tcW w:w="128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0</w:t>
            </w:r>
          </w:p>
        </w:tc>
        <w:tc>
          <w:tcPr>
            <w:tcW w:w="151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342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年初结转结余</w:t>
            </w:r>
          </w:p>
        </w:tc>
        <w:tc>
          <w:tcPr>
            <w:tcW w:w="155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c>
          <w:tcPr>
            <w:tcW w:w="128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c>
          <w:tcPr>
            <w:tcW w:w="151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42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总计</w:t>
            </w:r>
          </w:p>
        </w:tc>
        <w:tc>
          <w:tcPr>
            <w:tcW w:w="155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216.93</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8200.23</w:t>
            </w:r>
          </w:p>
        </w:tc>
        <w:tc>
          <w:tcPr>
            <w:tcW w:w="128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8417.16</w:t>
            </w:r>
          </w:p>
        </w:tc>
        <w:tc>
          <w:tcPr>
            <w:tcW w:w="151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8406.68</w:t>
            </w:r>
          </w:p>
        </w:tc>
      </w:tr>
    </w:tbl>
    <w:p>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contextualSpacing/>
        <w:jc w:val="both"/>
        <w:textAlignment w:val="auto"/>
        <w:outlineLvl w:val="9"/>
        <w:rPr>
          <w:rFonts w:hint="eastAsia" w:ascii="仿宋_GB2312" w:hAnsi="仿宋_GB2312" w:eastAsia="仿宋_GB2312" w:cs="仿宋_GB2312"/>
          <w:sz w:val="32"/>
          <w:szCs w:val="32"/>
          <w:lang w:val="zh-CN" w:eastAsia="zh-CN"/>
        </w:rPr>
      </w:pPr>
      <w:r>
        <w:rPr>
          <w:rFonts w:hint="default" w:ascii="仿宋_GB2312" w:hAnsi="仿宋_GB2312" w:eastAsia="仿宋_GB2312" w:cs="仿宋_GB2312"/>
          <w:b/>
          <w:bCs/>
          <w:sz w:val="32"/>
          <w:szCs w:val="32"/>
          <w:lang w:val="zh-CN" w:eastAsia="zh-CN"/>
        </w:rPr>
        <w:t>（</w:t>
      </w:r>
      <w:r>
        <w:rPr>
          <w:rFonts w:hint="eastAsia" w:ascii="仿宋_GB2312" w:hAnsi="仿宋_GB2312" w:eastAsia="仿宋_GB2312" w:cs="仿宋_GB2312"/>
          <w:b/>
          <w:bCs/>
          <w:sz w:val="32"/>
          <w:szCs w:val="32"/>
          <w:lang w:val="zh-CN" w:eastAsia="zh-CN"/>
        </w:rPr>
        <w:t>二</w:t>
      </w:r>
      <w:r>
        <w:rPr>
          <w:rFonts w:hint="default" w:ascii="仿宋_GB2312" w:hAnsi="仿宋_GB2312" w:eastAsia="仿宋_GB2312" w:cs="仿宋_GB2312"/>
          <w:b/>
          <w:bCs/>
          <w:sz w:val="32"/>
          <w:szCs w:val="32"/>
          <w:lang w:val="zh-CN" w:eastAsia="zh-CN"/>
        </w:rPr>
        <w:t>）</w:t>
      </w:r>
      <w:r>
        <w:rPr>
          <w:rFonts w:hint="eastAsia" w:ascii="仿宋_GB2312" w:hAnsi="仿宋_GB2312" w:eastAsia="仿宋_GB2312" w:cs="仿宋_GB2312"/>
          <w:b/>
          <w:bCs/>
          <w:sz w:val="32"/>
          <w:szCs w:val="32"/>
          <w:lang w:val="zh-CN" w:eastAsia="zh-CN"/>
        </w:rPr>
        <w:t>支出情况</w:t>
      </w:r>
      <w:r>
        <w:rPr>
          <w:rFonts w:hint="default" w:ascii="仿宋_GB2312" w:hAnsi="仿宋_GB2312" w:eastAsia="仿宋_GB2312" w:cs="仿宋_GB2312"/>
          <w:b/>
          <w:bCs/>
          <w:sz w:val="32"/>
          <w:szCs w:val="32"/>
          <w:lang w:val="zh-CN" w:eastAsia="zh-CN"/>
        </w:rPr>
        <w:t>。</w:t>
      </w:r>
      <w:r>
        <w:rPr>
          <w:rFonts w:hint="eastAsia" w:ascii="仿宋_GB2312" w:hAnsi="仿宋_GB2312" w:eastAsia="仿宋_GB2312" w:cs="仿宋_GB2312"/>
          <w:sz w:val="32"/>
          <w:szCs w:val="32"/>
          <w:lang w:val="zh-CN" w:eastAsia="zh-CN"/>
        </w:rPr>
        <w:t>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zh-CN" w:eastAsia="zh-CN"/>
        </w:rPr>
        <w:t>年度，市土地储备中心财政支出年初预算为</w:t>
      </w:r>
      <w:r>
        <w:rPr>
          <w:rFonts w:hint="eastAsia" w:ascii="仿宋_GB2312" w:hAnsi="仿宋_GB2312" w:eastAsia="仿宋_GB2312" w:cs="仿宋_GB2312"/>
          <w:sz w:val="32"/>
          <w:szCs w:val="32"/>
          <w:lang w:val="en-US" w:eastAsia="zh-CN"/>
        </w:rPr>
        <w:t>216.93</w:t>
      </w:r>
      <w:r>
        <w:rPr>
          <w:rFonts w:hint="eastAsia" w:ascii="仿宋_GB2312" w:hAnsi="仿宋_GB2312" w:eastAsia="仿宋_GB2312" w:cs="仿宋_GB2312"/>
          <w:sz w:val="32"/>
          <w:szCs w:val="32"/>
          <w:lang w:val="zh-CN" w:eastAsia="zh-CN"/>
        </w:rPr>
        <w:t>万元，</w:t>
      </w:r>
      <w:r>
        <w:rPr>
          <w:rFonts w:hint="eastAsia" w:ascii="仿宋_GB2312" w:hAnsi="仿宋_GB2312" w:eastAsia="仿宋_GB2312" w:cs="仿宋_GB2312"/>
          <w:sz w:val="32"/>
          <w:szCs w:val="32"/>
          <w:lang w:val="en-US" w:eastAsia="zh-CN"/>
        </w:rPr>
        <w:t>追加（减）8200.23</w:t>
      </w:r>
      <w:r>
        <w:rPr>
          <w:rFonts w:hint="eastAsia" w:ascii="仿宋_GB2312" w:hAnsi="仿宋_GB2312" w:eastAsia="仿宋_GB2312" w:cs="仿宋_GB2312"/>
          <w:sz w:val="32"/>
          <w:szCs w:val="32"/>
          <w:lang w:val="zh-CN" w:eastAsia="zh-CN"/>
        </w:rPr>
        <w:t>万元，</w:t>
      </w:r>
      <w:r>
        <w:rPr>
          <w:rFonts w:hint="eastAsia" w:ascii="仿宋_GB2312" w:hAnsi="仿宋_GB2312" w:eastAsia="仿宋_GB2312" w:cs="仿宋_GB2312"/>
          <w:sz w:val="32"/>
          <w:szCs w:val="32"/>
          <w:lang w:val="en-US" w:eastAsia="zh-CN"/>
        </w:rPr>
        <w:t>调整后预算</w:t>
      </w:r>
      <w:r>
        <w:rPr>
          <w:rFonts w:hint="eastAsia" w:ascii="仿宋_GB2312" w:hAnsi="仿宋_GB2312" w:eastAsia="仿宋_GB2312" w:cs="仿宋_GB2312"/>
          <w:sz w:val="32"/>
          <w:szCs w:val="32"/>
          <w:lang w:val="zh-CN" w:eastAsia="zh-CN"/>
        </w:rPr>
        <w:t>为</w:t>
      </w:r>
      <w:r>
        <w:rPr>
          <w:rFonts w:hint="eastAsia" w:ascii="仿宋_GB2312" w:hAnsi="仿宋_GB2312" w:eastAsia="仿宋_GB2312" w:cs="仿宋_GB2312"/>
          <w:sz w:val="32"/>
          <w:szCs w:val="32"/>
          <w:lang w:val="en-US" w:eastAsia="zh-CN"/>
        </w:rPr>
        <w:t>8417.16</w:t>
      </w:r>
      <w:r>
        <w:rPr>
          <w:rFonts w:hint="eastAsia" w:ascii="仿宋_GB2312" w:hAnsi="仿宋_GB2312" w:eastAsia="仿宋_GB2312" w:cs="仿宋_GB2312"/>
          <w:sz w:val="32"/>
          <w:szCs w:val="32"/>
          <w:lang w:val="zh-CN" w:eastAsia="zh-CN"/>
        </w:rPr>
        <w:t>万元，</w:t>
      </w:r>
      <w:r>
        <w:rPr>
          <w:rFonts w:hint="eastAsia" w:ascii="仿宋_GB2312" w:hAnsi="仿宋_GB2312" w:eastAsia="仿宋_GB2312" w:cs="仿宋_GB2312"/>
          <w:sz w:val="32"/>
          <w:szCs w:val="32"/>
          <w:lang w:val="en-US" w:eastAsia="zh-CN"/>
        </w:rPr>
        <w:t>决算数为8406.68万元。</w:t>
      </w:r>
      <w:r>
        <w:rPr>
          <w:rFonts w:hint="eastAsia" w:ascii="仿宋_GB2312" w:hAnsi="仿宋_GB2312" w:eastAsia="仿宋_GB2312" w:cs="仿宋_GB2312"/>
          <w:sz w:val="32"/>
          <w:szCs w:val="32"/>
          <w:lang w:val="zh-CN" w:eastAsia="zh-CN"/>
        </w:rPr>
        <w:t>具体情况详见</w:t>
      </w:r>
      <w:r>
        <w:rPr>
          <w:rFonts w:hint="eastAsia" w:ascii="仿宋_GB2312" w:hAnsi="仿宋_GB2312" w:eastAsia="仿宋_GB2312" w:cs="仿宋_GB2312"/>
          <w:sz w:val="32"/>
          <w:szCs w:val="32"/>
          <w:lang w:val="en-US" w:eastAsia="zh-CN"/>
        </w:rPr>
        <w:t>下</w:t>
      </w:r>
      <w:r>
        <w:rPr>
          <w:rFonts w:hint="eastAsia" w:ascii="仿宋_GB2312" w:hAnsi="仿宋_GB2312" w:eastAsia="仿宋_GB2312" w:cs="仿宋_GB2312"/>
          <w:sz w:val="32"/>
          <w:szCs w:val="32"/>
          <w:lang w:val="zh-CN" w:eastAsia="zh-CN"/>
        </w:rPr>
        <w:t>表。</w:t>
      </w:r>
    </w:p>
    <w:p>
      <w:pPr>
        <w:keepNext w:val="0"/>
        <w:keepLines w:val="0"/>
        <w:pageBreakBefore w:val="0"/>
        <w:kinsoku/>
        <w:wordWrap/>
        <w:overflowPunct/>
        <w:topLinePunct w:val="0"/>
        <w:autoSpaceDE/>
        <w:autoSpaceDN/>
        <w:bidi w:val="0"/>
        <w:adjustRightInd/>
        <w:snapToGrid/>
        <w:spacing w:line="300" w:lineRule="exact"/>
        <w:jc w:val="right"/>
        <w:textAlignment w:val="auto"/>
        <w:rPr>
          <w:rFonts w:hint="eastAsia" w:ascii="Times New Roman" w:hAnsi="Times New Roman" w:eastAsia="仿宋_GB2312" w:cs="Times New Roman"/>
          <w:bCs w:val="0"/>
          <w:color w:val="auto"/>
          <w:kern w:val="2"/>
          <w:sz w:val="24"/>
          <w:szCs w:val="24"/>
          <w:vertAlign w:val="baseline"/>
          <w:lang w:val="zh-CN" w:eastAsia="zh-CN" w:bidi="ar-SA"/>
        </w:rPr>
      </w:pPr>
      <w:r>
        <w:rPr>
          <w:rFonts w:hint="eastAsia" w:ascii="Times New Roman" w:hAnsi="Times New Roman" w:eastAsia="仿宋_GB2312" w:cs="Times New Roman"/>
          <w:bCs w:val="0"/>
          <w:color w:val="auto"/>
          <w:kern w:val="2"/>
          <w:sz w:val="24"/>
          <w:szCs w:val="24"/>
          <w:vertAlign w:val="baseline"/>
          <w:lang w:val="zh-CN" w:eastAsia="zh-CN" w:bidi="ar-SA"/>
        </w:rPr>
        <w:t>单位：万元</w:t>
      </w:r>
    </w:p>
    <w:tbl>
      <w:tblPr>
        <w:tblStyle w:val="12"/>
        <w:tblpPr w:leftFromText="180" w:rightFromText="180" w:vertAnchor="text" w:horzAnchor="page" w:tblpX="1660" w:tblpY="22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1"/>
        <w:gridCol w:w="1867"/>
        <w:gridCol w:w="1569"/>
        <w:gridCol w:w="1677"/>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24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项目名称</w:t>
            </w:r>
          </w:p>
        </w:tc>
        <w:tc>
          <w:tcPr>
            <w:tcW w:w="186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年初预算</w:t>
            </w:r>
          </w:p>
        </w:tc>
        <w:tc>
          <w:tcPr>
            <w:tcW w:w="156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追加（减）</w:t>
            </w:r>
          </w:p>
        </w:tc>
        <w:tc>
          <w:tcPr>
            <w:tcW w:w="1677"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调整后预算</w:t>
            </w:r>
          </w:p>
        </w:tc>
        <w:tc>
          <w:tcPr>
            <w:tcW w:w="1254"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一、基本支出</w:t>
            </w:r>
          </w:p>
        </w:tc>
        <w:tc>
          <w:tcPr>
            <w:tcW w:w="186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197.68</w:t>
            </w:r>
          </w:p>
        </w:tc>
        <w:tc>
          <w:tcPr>
            <w:tcW w:w="1569" w:type="dxa"/>
            <w:tcBorders>
              <w:top w:val="nil"/>
              <w:left w:val="nil"/>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 xml:space="preserve"> 19.4 </w:t>
            </w:r>
          </w:p>
        </w:tc>
        <w:tc>
          <w:tcPr>
            <w:tcW w:w="16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 xml:space="preserve">217.08  </w:t>
            </w:r>
          </w:p>
        </w:tc>
        <w:tc>
          <w:tcPr>
            <w:tcW w:w="125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206.66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人员经费</w:t>
            </w:r>
          </w:p>
        </w:tc>
        <w:tc>
          <w:tcPr>
            <w:tcW w:w="186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164.16</w:t>
            </w:r>
          </w:p>
        </w:tc>
        <w:tc>
          <w:tcPr>
            <w:tcW w:w="1569" w:type="dxa"/>
            <w:tcBorders>
              <w:top w:val="nil"/>
              <w:left w:val="nil"/>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19.54</w:t>
            </w:r>
          </w:p>
        </w:tc>
        <w:tc>
          <w:tcPr>
            <w:tcW w:w="16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 xml:space="preserve">183.7  </w:t>
            </w:r>
          </w:p>
        </w:tc>
        <w:tc>
          <w:tcPr>
            <w:tcW w:w="125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公用经费</w:t>
            </w:r>
          </w:p>
        </w:tc>
        <w:tc>
          <w:tcPr>
            <w:tcW w:w="186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33.52</w:t>
            </w:r>
          </w:p>
        </w:tc>
        <w:tc>
          <w:tcPr>
            <w:tcW w:w="1569" w:type="dxa"/>
            <w:tcBorders>
              <w:top w:val="nil"/>
              <w:left w:val="nil"/>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-0.14</w:t>
            </w:r>
          </w:p>
        </w:tc>
        <w:tc>
          <w:tcPr>
            <w:tcW w:w="16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33.38</w:t>
            </w:r>
          </w:p>
        </w:tc>
        <w:tc>
          <w:tcPr>
            <w:tcW w:w="125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二、项目支出</w:t>
            </w:r>
          </w:p>
        </w:tc>
        <w:tc>
          <w:tcPr>
            <w:tcW w:w="186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19.25</w:t>
            </w:r>
          </w:p>
        </w:tc>
        <w:tc>
          <w:tcPr>
            <w:tcW w:w="1569" w:type="dxa"/>
            <w:tcBorders>
              <w:top w:val="nil"/>
              <w:left w:val="nil"/>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8180.83</w:t>
            </w:r>
          </w:p>
        </w:tc>
        <w:tc>
          <w:tcPr>
            <w:tcW w:w="16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 xml:space="preserve">8200.08 </w:t>
            </w:r>
          </w:p>
        </w:tc>
        <w:tc>
          <w:tcPr>
            <w:tcW w:w="125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8200.02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24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总计</w:t>
            </w:r>
          </w:p>
        </w:tc>
        <w:tc>
          <w:tcPr>
            <w:tcW w:w="186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216.93</w:t>
            </w:r>
          </w:p>
        </w:tc>
        <w:tc>
          <w:tcPr>
            <w:tcW w:w="1569" w:type="dxa"/>
            <w:tcBorders>
              <w:top w:val="nil"/>
              <w:left w:val="nil"/>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8200.23</w:t>
            </w:r>
          </w:p>
        </w:tc>
        <w:tc>
          <w:tcPr>
            <w:tcW w:w="16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 xml:space="preserve">8417.16     </w:t>
            </w:r>
          </w:p>
        </w:tc>
        <w:tc>
          <w:tcPr>
            <w:tcW w:w="125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8406.68</w:t>
            </w:r>
          </w:p>
        </w:tc>
      </w:tr>
    </w:tbl>
    <w:p>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contextualSpacing/>
        <w:jc w:val="both"/>
        <w:textAlignment w:val="auto"/>
        <w:outlineLvl w:val="9"/>
        <w:rPr>
          <w:rFonts w:hint="default" w:ascii="仿宋_GB2312" w:hAnsi="仿宋_GB2312" w:eastAsia="仿宋_GB2312" w:cs="仿宋_GB2312"/>
          <w:sz w:val="32"/>
          <w:szCs w:val="32"/>
          <w:lang w:val="zh-CN" w:eastAsia="zh-CN"/>
        </w:rPr>
      </w:pPr>
      <w:r>
        <w:rPr>
          <w:rFonts w:hint="default" w:ascii="仿宋_GB2312" w:hAnsi="仿宋_GB2312" w:eastAsia="仿宋_GB2312" w:cs="仿宋_GB2312"/>
          <w:b/>
          <w:bCs/>
          <w:sz w:val="32"/>
          <w:szCs w:val="32"/>
          <w:lang w:val="zh-CN" w:eastAsia="zh-CN"/>
        </w:rPr>
        <w:t>（</w:t>
      </w:r>
      <w:r>
        <w:rPr>
          <w:rFonts w:hint="eastAsia" w:ascii="仿宋_GB2312" w:hAnsi="仿宋_GB2312" w:eastAsia="仿宋_GB2312" w:cs="仿宋_GB2312"/>
          <w:b/>
          <w:bCs/>
          <w:sz w:val="32"/>
          <w:szCs w:val="32"/>
          <w:lang w:val="zh-CN" w:eastAsia="zh-CN"/>
        </w:rPr>
        <w:t>三</w:t>
      </w:r>
      <w:r>
        <w:rPr>
          <w:rFonts w:hint="default" w:ascii="仿宋_GB2312" w:hAnsi="仿宋_GB2312" w:eastAsia="仿宋_GB2312" w:cs="仿宋_GB2312"/>
          <w:b/>
          <w:bCs/>
          <w:sz w:val="32"/>
          <w:szCs w:val="32"/>
          <w:lang w:val="zh-CN" w:eastAsia="zh-CN"/>
        </w:rPr>
        <w:t>）结余分配和结转结余情况</w:t>
      </w:r>
      <w:r>
        <w:rPr>
          <w:rFonts w:hint="eastAsia" w:ascii="仿宋_GB2312" w:hAnsi="仿宋_GB2312" w:eastAsia="仿宋_GB2312" w:cs="仿宋_GB2312"/>
          <w:b/>
          <w:bCs/>
          <w:sz w:val="32"/>
          <w:szCs w:val="32"/>
          <w:lang w:val="zh-CN" w:eastAsia="zh-CN"/>
        </w:rPr>
        <w:t>。</w:t>
      </w:r>
      <w:r>
        <w:rPr>
          <w:rFonts w:hint="eastAsia" w:ascii="仿宋_GB2312" w:hAnsi="仿宋_GB2312" w:eastAsia="仿宋_GB2312" w:cs="仿宋_GB2312"/>
          <w:sz w:val="32"/>
          <w:szCs w:val="32"/>
          <w:lang w:val="zh-CN"/>
        </w:rPr>
        <w:t>市土地储备中心</w:t>
      </w:r>
      <w:r>
        <w:rPr>
          <w:rFonts w:hint="eastAsia" w:ascii="仿宋_GB2312" w:hAnsi="仿宋_GB2312" w:eastAsia="仿宋_GB2312" w:cs="仿宋_GB2312"/>
          <w:sz w:val="32"/>
          <w:szCs w:val="32"/>
          <w:lang w:val="en-US" w:eastAsia="zh-CN"/>
        </w:rPr>
        <w:t>2024年底无</w:t>
      </w:r>
      <w:r>
        <w:rPr>
          <w:rFonts w:hint="default" w:ascii="仿宋_GB2312" w:hAnsi="仿宋_GB2312" w:eastAsia="仿宋_GB2312" w:cs="仿宋_GB2312"/>
          <w:sz w:val="32"/>
          <w:szCs w:val="32"/>
          <w:lang w:val="en-US" w:eastAsia="zh-CN"/>
        </w:rPr>
        <w:t>结转结余。</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60" w:firstLineChars="200"/>
        <w:contextualSpacing/>
        <w:jc w:val="both"/>
        <w:textAlignment w:val="auto"/>
        <w:outlineLvl w:val="9"/>
        <w:rPr>
          <w:rFonts w:hint="default" w:ascii="Times New Roman" w:hAnsi="Times New Roman" w:eastAsia="黑体" w:cs="Times New Roman"/>
          <w:color w:val="000000" w:themeColor="text1"/>
          <w:kern w:val="0"/>
          <w:sz w:val="33"/>
          <w:szCs w:val="33"/>
          <w:highlight w:val="none"/>
          <w:shd w:val="clear" w:color="auto" w:fill="FFFFFF"/>
          <w14:textFill>
            <w14:solidFill>
              <w14:schemeClr w14:val="tx1"/>
            </w14:solidFill>
          </w14:textFill>
        </w:rPr>
      </w:pPr>
      <w:r>
        <w:rPr>
          <w:rFonts w:hint="eastAsia" w:eastAsia="黑体" w:cs="Times New Roman"/>
          <w:color w:val="000000"/>
          <w:kern w:val="0"/>
          <w:sz w:val="33"/>
          <w:szCs w:val="33"/>
          <w:highlight w:val="none"/>
          <w:shd w:val="clear" w:color="auto" w:fill="FFFFFF"/>
          <w:lang w:val="en-US" w:eastAsia="zh-CN"/>
        </w:rPr>
        <w:t>三</w:t>
      </w:r>
      <w:r>
        <w:rPr>
          <w:rFonts w:hint="default" w:ascii="Times New Roman" w:hAnsi="Times New Roman" w:eastAsia="黑体" w:cs="Times New Roman"/>
          <w:color w:val="000000"/>
          <w:kern w:val="0"/>
          <w:sz w:val="33"/>
          <w:szCs w:val="33"/>
          <w:highlight w:val="none"/>
          <w:shd w:val="clear" w:color="auto" w:fill="FFFFFF"/>
        </w:rPr>
        <w:t>、</w:t>
      </w:r>
      <w:r>
        <w:rPr>
          <w:rFonts w:hint="default" w:ascii="Times New Roman" w:hAnsi="Times New Roman" w:eastAsia="黑体" w:cs="Times New Roman"/>
          <w:color w:val="000000"/>
          <w:kern w:val="0"/>
          <w:sz w:val="33"/>
          <w:szCs w:val="33"/>
          <w:highlight w:val="none"/>
          <w:u w:val="none"/>
          <w:shd w:val="clear" w:color="auto" w:fill="FFFFFF"/>
        </w:rPr>
        <w:t>部门</w:t>
      </w:r>
      <w:r>
        <w:rPr>
          <w:rFonts w:hint="default" w:ascii="Times New Roman" w:hAnsi="Times New Roman" w:eastAsia="黑体" w:cs="Times New Roman"/>
          <w:color w:val="000000"/>
          <w:kern w:val="0"/>
          <w:sz w:val="33"/>
          <w:szCs w:val="33"/>
          <w:highlight w:val="none"/>
          <w:u w:val="none"/>
          <w:shd w:val="clear" w:color="auto" w:fill="FFFFFF"/>
          <w:lang w:eastAsia="zh-CN"/>
        </w:rPr>
        <w:t>预算</w:t>
      </w:r>
      <w:r>
        <w:rPr>
          <w:rFonts w:hint="default" w:ascii="Times New Roman" w:hAnsi="Times New Roman" w:eastAsia="黑体" w:cs="Times New Roman"/>
          <w:color w:val="000000"/>
          <w:kern w:val="0"/>
          <w:sz w:val="33"/>
          <w:szCs w:val="33"/>
          <w:highlight w:val="none"/>
          <w:u w:val="none"/>
          <w:shd w:val="clear" w:color="auto" w:fill="FFFFFF"/>
        </w:rPr>
        <w:t>绩效</w:t>
      </w:r>
      <w:r>
        <w:rPr>
          <w:rFonts w:hint="default" w:ascii="Times New Roman" w:hAnsi="Times New Roman" w:eastAsia="黑体" w:cs="Times New Roman"/>
          <w:color w:val="000000"/>
          <w:kern w:val="0"/>
          <w:sz w:val="33"/>
          <w:szCs w:val="33"/>
          <w:highlight w:val="none"/>
          <w:u w:val="none"/>
          <w:shd w:val="clear" w:color="auto" w:fill="FFFFFF"/>
          <w:lang w:eastAsia="zh-CN"/>
        </w:rPr>
        <w:t>分析</w:t>
      </w:r>
    </w:p>
    <w:p>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contextualSpacing/>
        <w:jc w:val="both"/>
        <w:textAlignment w:val="auto"/>
        <w:outlineLvl w:val="9"/>
        <w:rPr>
          <w:rFonts w:hint="default" w:ascii="仿宋_GB2312" w:hAnsi="仿宋_GB2312" w:eastAsia="仿宋_GB2312" w:cs="仿宋_GB2312"/>
          <w:b/>
          <w:bCs/>
          <w:sz w:val="32"/>
          <w:szCs w:val="32"/>
          <w:lang w:val="zh-CN" w:eastAsia="zh-CN"/>
        </w:rPr>
      </w:pPr>
      <w:r>
        <w:rPr>
          <w:rFonts w:hint="default" w:ascii="仿宋_GB2312" w:hAnsi="仿宋_GB2312" w:eastAsia="仿宋_GB2312" w:cs="仿宋_GB2312"/>
          <w:b/>
          <w:bCs/>
          <w:sz w:val="32"/>
          <w:szCs w:val="32"/>
          <w:lang w:val="zh-CN" w:eastAsia="zh-CN"/>
        </w:rPr>
        <w:t>（一）</w:t>
      </w:r>
      <w:r>
        <w:rPr>
          <w:rFonts w:hint="eastAsia" w:ascii="仿宋_GB2312" w:hAnsi="仿宋_GB2312" w:eastAsia="仿宋_GB2312" w:cs="仿宋_GB2312"/>
          <w:b/>
          <w:bCs/>
          <w:sz w:val="32"/>
          <w:szCs w:val="32"/>
          <w:lang w:val="zh-CN" w:eastAsia="zh-CN"/>
        </w:rPr>
        <w:t>部门预算</w:t>
      </w:r>
      <w:r>
        <w:rPr>
          <w:rFonts w:hint="default" w:ascii="仿宋_GB2312" w:hAnsi="仿宋_GB2312" w:eastAsia="仿宋_GB2312" w:cs="仿宋_GB2312"/>
          <w:b/>
          <w:bCs/>
          <w:sz w:val="32"/>
          <w:szCs w:val="32"/>
          <w:lang w:val="zh-CN" w:eastAsia="zh-CN"/>
        </w:rPr>
        <w:t>总体绩效分析。</w:t>
      </w:r>
    </w:p>
    <w:p>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contextualSpacing/>
        <w:jc w:val="both"/>
        <w:textAlignment w:val="auto"/>
        <w:outlineLvl w:val="9"/>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val="zh-CN"/>
        </w:rPr>
        <w:t>履职效能。</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rPr>
        <w:t>围绕</w:t>
      </w:r>
      <w:r>
        <w:rPr>
          <w:rFonts w:hint="eastAsia" w:ascii="仿宋_GB2312" w:hAnsi="仿宋_GB2312" w:eastAsia="仿宋_GB2312" w:cs="仿宋_GB2312"/>
          <w:sz w:val="32"/>
          <w:szCs w:val="32"/>
          <w:lang w:val="zh-CN" w:eastAsia="zh-CN"/>
        </w:rPr>
        <w:t>土地储备</w:t>
      </w:r>
      <w:r>
        <w:rPr>
          <w:rFonts w:hint="eastAsia" w:ascii="仿宋_GB2312" w:hAnsi="仿宋_GB2312" w:eastAsia="仿宋_GB2312" w:cs="仿宋_GB2312"/>
          <w:sz w:val="32"/>
          <w:szCs w:val="32"/>
          <w:lang w:val="zh-CN"/>
        </w:rPr>
        <w:t>工作职责，</w:t>
      </w:r>
      <w:r>
        <w:rPr>
          <w:rFonts w:hint="eastAsia" w:ascii="仿宋_GB2312" w:hAnsi="仿宋_GB2312" w:cs="仿宋_GB2312"/>
          <w:sz w:val="32"/>
          <w:szCs w:val="32"/>
          <w:lang w:val="zh-CN"/>
        </w:rPr>
        <w:t>达到</w:t>
      </w:r>
      <w:r>
        <w:rPr>
          <w:rFonts w:hint="eastAsia" w:ascii="仿宋_GB2312" w:hAnsi="仿宋_GB2312" w:eastAsia="仿宋_GB2312" w:cs="仿宋_GB2312"/>
          <w:sz w:val="32"/>
          <w:szCs w:val="32"/>
          <w:lang w:val="en-US" w:eastAsia="zh-CN"/>
        </w:rPr>
        <w:t>储备土地精细化管理，努力提升资产效益，提升对土地的集约节约利用能力</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lang w:val="zh-CN"/>
        </w:rPr>
        <w:t>开展对应项目</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zh-CN"/>
        </w:rPr>
        <w:t>项</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en-US" w:eastAsia="zh-CN"/>
        </w:rPr>
        <w:t>情况如下：</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资金安排情况</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为</w:t>
      </w:r>
      <w:r>
        <w:rPr>
          <w:rFonts w:hint="eastAsia" w:ascii="仿宋_GB2312" w:hAnsi="仿宋_GB2312" w:cs="仿宋_GB2312"/>
          <w:sz w:val="32"/>
          <w:szCs w:val="32"/>
          <w:lang w:val="zh-CN"/>
        </w:rPr>
        <w:t>达到</w:t>
      </w:r>
      <w:r>
        <w:rPr>
          <w:rFonts w:hint="eastAsia" w:ascii="仿宋_GB2312" w:hAnsi="仿宋_GB2312" w:eastAsia="仿宋_GB2312" w:cs="仿宋_GB2312"/>
          <w:sz w:val="32"/>
          <w:szCs w:val="32"/>
          <w:lang w:val="en-US" w:eastAsia="zh-CN"/>
        </w:rPr>
        <w:t>储备土地精细化管理，努力提升资产效益，提升对土地的集约节约利用能力，</w:t>
      </w:r>
      <w:r>
        <w:rPr>
          <w:rFonts w:hint="default" w:ascii="仿宋_GB2312" w:hAnsi="仿宋_GB2312" w:eastAsia="仿宋_GB2312" w:cs="仿宋_GB2312"/>
          <w:sz w:val="32"/>
          <w:szCs w:val="32"/>
          <w:lang w:val="en-US" w:eastAsia="zh-CN"/>
        </w:rPr>
        <w:t>2024年开展对应项目</w:t>
      </w: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项，资金合计</w:t>
      </w:r>
      <w:r>
        <w:rPr>
          <w:rFonts w:hint="eastAsia" w:ascii="仿宋_GB2312" w:hAnsi="仿宋_GB2312" w:cs="仿宋_GB2312"/>
          <w:sz w:val="32"/>
          <w:szCs w:val="32"/>
          <w:lang w:val="en-US" w:eastAsia="zh-CN"/>
        </w:rPr>
        <w:t>8200.08</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如下</w:t>
      </w:r>
      <w:r>
        <w:rPr>
          <w:rFonts w:hint="default" w:ascii="仿宋_GB2312" w:hAnsi="仿宋_GB2312" w:eastAsia="仿宋_GB2312" w:cs="仿宋_GB2312"/>
          <w:sz w:val="32"/>
          <w:szCs w:val="32"/>
          <w:lang w:val="en-US" w:eastAsia="zh-CN"/>
        </w:rPr>
        <w:t>表：</w:t>
      </w:r>
    </w:p>
    <w:p>
      <w:pPr>
        <w:keepNext w:val="0"/>
        <w:keepLines w:val="0"/>
        <w:pageBreakBefore w:val="0"/>
        <w:widowControl w:val="0"/>
        <w:kinsoku/>
        <w:wordWrap/>
        <w:overflowPunct/>
        <w:topLinePunct w:val="0"/>
        <w:autoSpaceDE/>
        <w:autoSpaceDN/>
        <w:bidi w:val="0"/>
        <w:adjustRightInd/>
        <w:snapToGrid/>
        <w:spacing w:line="300" w:lineRule="exact"/>
        <w:jc w:val="right"/>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单位：万元</w:t>
      </w:r>
    </w:p>
    <w:tbl>
      <w:tblPr>
        <w:tblStyle w:val="13"/>
        <w:tblW w:w="9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9"/>
        <w:gridCol w:w="3563"/>
        <w:gridCol w:w="1237"/>
        <w:gridCol w:w="1425"/>
        <w:gridCol w:w="996"/>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序号</w:t>
            </w:r>
          </w:p>
        </w:tc>
        <w:tc>
          <w:tcPr>
            <w:tcW w:w="356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项目名称</w:t>
            </w:r>
          </w:p>
        </w:tc>
        <w:tc>
          <w:tcPr>
            <w:tcW w:w="12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年初预算</w:t>
            </w:r>
          </w:p>
        </w:tc>
        <w:tc>
          <w:tcPr>
            <w:tcW w:w="14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调整后预算</w:t>
            </w:r>
          </w:p>
        </w:tc>
        <w:tc>
          <w:tcPr>
            <w:tcW w:w="99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决算</w:t>
            </w:r>
          </w:p>
        </w:tc>
        <w:tc>
          <w:tcPr>
            <w:tcW w:w="12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w:t>
            </w:r>
          </w:p>
        </w:tc>
        <w:tc>
          <w:tcPr>
            <w:tcW w:w="356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国有土地使用权出让支出(补助支出）</w:t>
            </w:r>
          </w:p>
        </w:tc>
        <w:tc>
          <w:tcPr>
            <w:tcW w:w="1237"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c>
          <w:tcPr>
            <w:tcW w:w="1425"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6342.2</w:t>
            </w:r>
            <w:r>
              <w:rPr>
                <w:rFonts w:hint="eastAsia" w:ascii="Times New Roman" w:hAnsi="Times New Roman" w:cs="Times New Roman"/>
                <w:sz w:val="24"/>
                <w:szCs w:val="24"/>
                <w:vertAlign w:val="baseline"/>
                <w:lang w:val="en-US" w:eastAsia="zh-CN"/>
              </w:rPr>
              <w:t>1</w:t>
            </w:r>
          </w:p>
        </w:tc>
        <w:tc>
          <w:tcPr>
            <w:tcW w:w="996"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6342.2</w:t>
            </w:r>
            <w:r>
              <w:rPr>
                <w:rFonts w:hint="eastAsia" w:ascii="Times New Roman" w:hAnsi="Times New Roman" w:cs="Times New Roman"/>
                <w:sz w:val="24"/>
                <w:szCs w:val="24"/>
                <w:vertAlign w:val="baseline"/>
                <w:lang w:val="en-US" w:eastAsia="zh-CN"/>
              </w:rPr>
              <w:t>1</w:t>
            </w:r>
          </w:p>
        </w:tc>
        <w:tc>
          <w:tcPr>
            <w:tcW w:w="1292"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w:t>
            </w:r>
          </w:p>
        </w:tc>
        <w:tc>
          <w:tcPr>
            <w:tcW w:w="356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储备土地计划编制、管护等费用</w:t>
            </w:r>
          </w:p>
        </w:tc>
        <w:tc>
          <w:tcPr>
            <w:tcW w:w="1237"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19.25</w:t>
            </w:r>
          </w:p>
        </w:tc>
        <w:tc>
          <w:tcPr>
            <w:tcW w:w="1425"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19.25</w:t>
            </w:r>
          </w:p>
        </w:tc>
        <w:tc>
          <w:tcPr>
            <w:tcW w:w="996"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19.19</w:t>
            </w:r>
          </w:p>
        </w:tc>
        <w:tc>
          <w:tcPr>
            <w:tcW w:w="1292"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99.69%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59"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3</w:t>
            </w:r>
          </w:p>
        </w:tc>
        <w:tc>
          <w:tcPr>
            <w:tcW w:w="356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政府债券发行费用</w:t>
            </w:r>
          </w:p>
        </w:tc>
        <w:tc>
          <w:tcPr>
            <w:tcW w:w="1237"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c>
          <w:tcPr>
            <w:tcW w:w="1425"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20.58</w:t>
            </w:r>
          </w:p>
        </w:tc>
        <w:tc>
          <w:tcPr>
            <w:tcW w:w="996"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20.58</w:t>
            </w:r>
          </w:p>
        </w:tc>
        <w:tc>
          <w:tcPr>
            <w:tcW w:w="1292"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4</w:t>
            </w:r>
          </w:p>
        </w:tc>
        <w:tc>
          <w:tcPr>
            <w:tcW w:w="356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土地储备专项债券资金利息及还息手续费</w:t>
            </w:r>
          </w:p>
        </w:tc>
        <w:tc>
          <w:tcPr>
            <w:tcW w:w="1237"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0</w:t>
            </w:r>
          </w:p>
        </w:tc>
        <w:tc>
          <w:tcPr>
            <w:tcW w:w="1425"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1818.04</w:t>
            </w:r>
          </w:p>
        </w:tc>
        <w:tc>
          <w:tcPr>
            <w:tcW w:w="996"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1818.04</w:t>
            </w:r>
          </w:p>
        </w:tc>
        <w:tc>
          <w:tcPr>
            <w:tcW w:w="1292"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pageBreakBefore w:val="0"/>
              <w:kinsoku/>
              <w:overflowPunct/>
              <w:topLinePunct w:val="0"/>
              <w:autoSpaceDE/>
              <w:autoSpaceDN/>
              <w:bidi w:val="0"/>
              <w:adjustRightInd/>
              <w:snapToGrid/>
              <w:spacing w:line="560" w:lineRule="exact"/>
              <w:jc w:val="center"/>
              <w:rPr>
                <w:rFonts w:hint="eastAsia" w:ascii="Times New Roman" w:hAnsi="Times New Roman" w:cs="Times New Roman"/>
                <w:sz w:val="24"/>
                <w:szCs w:val="24"/>
                <w:vertAlign w:val="baseline"/>
                <w:lang w:val="en-US" w:eastAsia="zh-CN"/>
              </w:rPr>
            </w:pPr>
          </w:p>
        </w:tc>
        <w:tc>
          <w:tcPr>
            <w:tcW w:w="356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合计</w:t>
            </w:r>
          </w:p>
        </w:tc>
        <w:tc>
          <w:tcPr>
            <w:tcW w:w="1237"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19.25</w:t>
            </w:r>
          </w:p>
        </w:tc>
        <w:tc>
          <w:tcPr>
            <w:tcW w:w="1425"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8200.08</w:t>
            </w:r>
          </w:p>
        </w:tc>
        <w:tc>
          <w:tcPr>
            <w:tcW w:w="996"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8200.02</w:t>
            </w:r>
          </w:p>
        </w:tc>
        <w:tc>
          <w:tcPr>
            <w:tcW w:w="1292"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99.99%</w:t>
            </w:r>
          </w:p>
        </w:tc>
      </w:tr>
    </w:tbl>
    <w:p>
      <w:pPr>
        <w:rPr>
          <w:rFonts w:hint="default" w:ascii="仿宋_GB2312" w:hAnsi="仿宋_GB2312" w:eastAsia="仿宋_GB2312" w:cs="仿宋_GB2312"/>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目标实现情况</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为</w:t>
      </w:r>
      <w:r>
        <w:rPr>
          <w:rFonts w:hint="eastAsia" w:ascii="仿宋_GB2312" w:hAnsi="仿宋_GB2312" w:cs="仿宋_GB2312"/>
          <w:sz w:val="32"/>
          <w:szCs w:val="32"/>
          <w:lang w:val="zh-CN"/>
        </w:rPr>
        <w:t>达到</w:t>
      </w:r>
      <w:r>
        <w:rPr>
          <w:rFonts w:hint="eastAsia" w:ascii="仿宋_GB2312" w:hAnsi="仿宋_GB2312" w:eastAsia="仿宋_GB2312" w:cs="仿宋_GB2312"/>
          <w:sz w:val="32"/>
          <w:szCs w:val="32"/>
          <w:lang w:val="en-US" w:eastAsia="zh-CN"/>
        </w:rPr>
        <w:t>储备土地精细化管理，努力提升资产效益，提升对土地的集约节约利用能力目标实现情况如下：</w:t>
      </w:r>
    </w:p>
    <w:tbl>
      <w:tblPr>
        <w:tblStyle w:val="13"/>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6"/>
        <w:gridCol w:w="4488"/>
        <w:gridCol w:w="1320"/>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6"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项目名称</w:t>
            </w:r>
          </w:p>
        </w:tc>
        <w:tc>
          <w:tcPr>
            <w:tcW w:w="4488"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目标</w:t>
            </w:r>
          </w:p>
        </w:tc>
        <w:tc>
          <w:tcPr>
            <w:tcW w:w="1320"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完成情况</w:t>
            </w:r>
          </w:p>
        </w:tc>
        <w:tc>
          <w:tcPr>
            <w:tcW w:w="1114"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22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国有土地使用权出让支出(补助支出）</w:t>
            </w:r>
          </w:p>
        </w:tc>
        <w:tc>
          <w:tcPr>
            <w:tcW w:w="44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13"/>
                <w:szCs w:val="13"/>
                <w:vertAlign w:val="baseline"/>
                <w:lang w:val="en-US" w:eastAsia="zh-CN"/>
              </w:rPr>
            </w:pPr>
            <w:r>
              <w:rPr>
                <w:rFonts w:hint="default" w:ascii="Times New Roman" w:hAnsi="Times New Roman" w:cs="Times New Roman"/>
                <w:sz w:val="24"/>
                <w:szCs w:val="24"/>
                <w:vertAlign w:val="baseline"/>
                <w:lang w:val="en-US" w:eastAsia="zh-CN"/>
              </w:rPr>
              <w:t>对2024年市直园区向市场新出让土地进行补助</w:t>
            </w:r>
          </w:p>
        </w:tc>
        <w:tc>
          <w:tcPr>
            <w:tcW w:w="1320"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已完成</w:t>
            </w:r>
          </w:p>
        </w:tc>
        <w:tc>
          <w:tcPr>
            <w:tcW w:w="1114"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储备土地计划编制、管护等费用</w:t>
            </w:r>
          </w:p>
        </w:tc>
        <w:tc>
          <w:tcPr>
            <w:tcW w:w="44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通过对储备土地计划编制、巡查维护、安全隐患消除等工作，实现储备土地精细化管理，努力提升资产效益，提升对土地的集约节约利用能力，推动遂宁早日建成成渝中部现代化建设示范市和“锂电之都”。</w:t>
            </w:r>
          </w:p>
        </w:tc>
        <w:tc>
          <w:tcPr>
            <w:tcW w:w="1320" w:type="dxa"/>
            <w:shd w:val="clear" w:color="auto" w:fill="auto"/>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cs="Times New Roman"/>
                <w:sz w:val="24"/>
                <w:szCs w:val="24"/>
                <w:vertAlign w:val="baseline"/>
                <w:lang w:val="en-US" w:eastAsia="zh-CN"/>
              </w:rPr>
              <w:t>已完成</w:t>
            </w:r>
          </w:p>
        </w:tc>
        <w:tc>
          <w:tcPr>
            <w:tcW w:w="1114" w:type="dxa"/>
            <w:shd w:val="clear" w:color="auto" w:fill="auto"/>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eastAsia="仿宋_GB2312" w:cs="Times New Roman"/>
                <w:kern w:val="2"/>
                <w:sz w:val="24"/>
                <w:szCs w:val="24"/>
                <w:vertAlign w:val="baseline"/>
                <w:lang w:val="en-US" w:eastAsia="zh-CN" w:bidi="ar-SA"/>
              </w:rPr>
            </w:pPr>
            <w:r>
              <w:rPr>
                <w:rFonts w:hint="eastAsia" w:ascii="Times New Roman" w:hAnsi="Times New Roman" w:cs="Times New Roman"/>
                <w:sz w:val="24"/>
                <w:szCs w:val="24"/>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6"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政府债券发行费用</w:t>
            </w:r>
          </w:p>
        </w:tc>
        <w:tc>
          <w:tcPr>
            <w:tcW w:w="44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落实遂财债〔2024〕59号文件精神，认真做好本地区地方政府债券202</w:t>
            </w:r>
            <w:r>
              <w:rPr>
                <w:rFonts w:hint="eastAsia" w:ascii="Times New Roman" w:hAnsi="Times New Roman" w:cs="Times New Roman"/>
                <w:sz w:val="24"/>
                <w:szCs w:val="24"/>
                <w:vertAlign w:val="baseline"/>
                <w:lang w:val="en-US" w:eastAsia="zh-CN"/>
              </w:rPr>
              <w:t>4</w:t>
            </w:r>
            <w:r>
              <w:rPr>
                <w:rFonts w:hint="default" w:ascii="Times New Roman" w:hAnsi="Times New Roman" w:cs="Times New Roman"/>
                <w:sz w:val="24"/>
                <w:szCs w:val="24"/>
                <w:vertAlign w:val="baseline"/>
                <w:lang w:val="en-US" w:eastAsia="zh-CN"/>
              </w:rPr>
              <w:t>年</w:t>
            </w:r>
            <w:r>
              <w:rPr>
                <w:rFonts w:hint="eastAsia" w:ascii="Times New Roman" w:hAnsi="Times New Roman" w:cs="Times New Roman"/>
                <w:sz w:val="24"/>
                <w:szCs w:val="24"/>
                <w:vertAlign w:val="baseline"/>
                <w:lang w:val="en-US" w:eastAsia="zh-CN"/>
              </w:rPr>
              <w:t>发行</w:t>
            </w:r>
            <w:r>
              <w:rPr>
                <w:rFonts w:hint="default" w:ascii="Times New Roman" w:hAnsi="Times New Roman" w:cs="Times New Roman"/>
                <w:sz w:val="24"/>
                <w:szCs w:val="24"/>
                <w:vertAlign w:val="baseline"/>
                <w:lang w:val="en-US" w:eastAsia="zh-CN"/>
              </w:rPr>
              <w:t>相关工作，通过财政共同专项支付土地储备专项债券</w:t>
            </w:r>
            <w:r>
              <w:rPr>
                <w:rFonts w:hint="eastAsia" w:ascii="Times New Roman" w:hAnsi="Times New Roman" w:cs="Times New Roman"/>
                <w:sz w:val="24"/>
                <w:szCs w:val="24"/>
                <w:vertAlign w:val="baseline"/>
                <w:lang w:val="en-US" w:eastAsia="zh-CN"/>
              </w:rPr>
              <w:t>发行费20.58</w:t>
            </w:r>
            <w:r>
              <w:rPr>
                <w:rFonts w:hint="default" w:ascii="Times New Roman" w:hAnsi="Times New Roman" w:cs="Times New Roman"/>
                <w:sz w:val="24"/>
                <w:szCs w:val="24"/>
                <w:vertAlign w:val="baseline"/>
                <w:lang w:val="en-US" w:eastAsia="zh-CN"/>
              </w:rPr>
              <w:t>万元。</w:t>
            </w:r>
          </w:p>
        </w:tc>
        <w:tc>
          <w:tcPr>
            <w:tcW w:w="1320"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已完成</w:t>
            </w:r>
          </w:p>
        </w:tc>
        <w:tc>
          <w:tcPr>
            <w:tcW w:w="1114" w:type="dxa"/>
            <w:vAlign w:val="center"/>
          </w:tcPr>
          <w:p>
            <w:pPr>
              <w:pageBreakBefore w:val="0"/>
              <w:kinsoku/>
              <w:overflowPunct/>
              <w:topLinePunct w:val="0"/>
              <w:autoSpaceDE/>
              <w:autoSpaceDN/>
              <w:bidi w:val="0"/>
              <w:adjustRightInd/>
              <w:snapToGrid/>
              <w:spacing w:line="560" w:lineRule="exact"/>
              <w:jc w:val="cente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土地储备专项债券资金利息及还息手续费</w:t>
            </w:r>
          </w:p>
        </w:tc>
        <w:tc>
          <w:tcPr>
            <w:tcW w:w="44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13"/>
                <w:szCs w:val="13"/>
                <w:vertAlign w:val="baseline"/>
                <w:lang w:val="en-US" w:eastAsia="zh-CN"/>
              </w:rPr>
            </w:pPr>
            <w:r>
              <w:rPr>
                <w:rFonts w:hint="default" w:ascii="Times New Roman" w:hAnsi="Times New Roman" w:cs="Times New Roman"/>
                <w:sz w:val="24"/>
                <w:szCs w:val="24"/>
                <w:vertAlign w:val="baseline"/>
                <w:lang w:val="en-US" w:eastAsia="zh-CN"/>
              </w:rPr>
              <w:t>落实遂财债〔202</w:t>
            </w:r>
            <w:r>
              <w:rPr>
                <w:rFonts w:hint="eastAsia" w:ascii="Times New Roman" w:hAnsi="Times New Roman" w:cs="Times New Roman"/>
                <w:sz w:val="24"/>
                <w:szCs w:val="24"/>
                <w:vertAlign w:val="baseline"/>
                <w:lang w:val="en-US" w:eastAsia="zh-CN"/>
              </w:rPr>
              <w:t>4</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3</w:t>
            </w:r>
            <w:r>
              <w:rPr>
                <w:rFonts w:hint="default" w:ascii="Times New Roman" w:hAnsi="Times New Roman" w:cs="Times New Roman"/>
                <w:sz w:val="24"/>
                <w:szCs w:val="24"/>
                <w:vertAlign w:val="baseline"/>
                <w:lang w:val="en-US" w:eastAsia="zh-CN"/>
              </w:rPr>
              <w:t>号文件精神，认真做好本地区地方政府债券202</w:t>
            </w:r>
            <w:r>
              <w:rPr>
                <w:rFonts w:hint="eastAsia" w:ascii="Times New Roman" w:hAnsi="Times New Roman" w:cs="Times New Roman"/>
                <w:sz w:val="24"/>
                <w:szCs w:val="24"/>
                <w:vertAlign w:val="baseline"/>
                <w:lang w:val="en-US" w:eastAsia="zh-CN"/>
              </w:rPr>
              <w:t>4</w:t>
            </w:r>
            <w:r>
              <w:rPr>
                <w:rFonts w:hint="default" w:ascii="Times New Roman" w:hAnsi="Times New Roman" w:cs="Times New Roman"/>
                <w:sz w:val="24"/>
                <w:szCs w:val="24"/>
                <w:vertAlign w:val="baseline"/>
                <w:lang w:val="en-US" w:eastAsia="zh-CN"/>
              </w:rPr>
              <w:t>年付息相关工作，切实维护地方政府信誉，通过财政共同专项支付土地储备专项债券利息及还息手续费</w:t>
            </w:r>
            <w:r>
              <w:rPr>
                <w:rFonts w:hint="eastAsia" w:ascii="Times New Roman" w:hAnsi="Times New Roman" w:cs="Times New Roman"/>
                <w:sz w:val="24"/>
                <w:szCs w:val="24"/>
                <w:vertAlign w:val="baseline"/>
                <w:lang w:val="en-US" w:eastAsia="zh-CN"/>
              </w:rPr>
              <w:t>1818.04</w:t>
            </w:r>
            <w:r>
              <w:rPr>
                <w:rFonts w:hint="default" w:ascii="Times New Roman" w:hAnsi="Times New Roman" w:cs="Times New Roman"/>
                <w:sz w:val="24"/>
                <w:szCs w:val="24"/>
                <w:vertAlign w:val="baseline"/>
                <w:lang w:val="en-US" w:eastAsia="zh-CN"/>
              </w:rPr>
              <w:t>万元。</w:t>
            </w:r>
          </w:p>
        </w:tc>
        <w:tc>
          <w:tcPr>
            <w:tcW w:w="1320" w:type="dxa"/>
            <w:shd w:val="clear" w:color="auto" w:fill="auto"/>
            <w:vAlign w:val="center"/>
          </w:tcPr>
          <w:p>
            <w:pPr>
              <w:pageBreakBefore w:val="0"/>
              <w:kinsoku/>
              <w:overflowPunct/>
              <w:topLinePunct w:val="0"/>
              <w:autoSpaceDE/>
              <w:autoSpaceDN/>
              <w:bidi w:val="0"/>
              <w:adjustRightInd/>
              <w:snapToGrid/>
              <w:spacing w:line="560" w:lineRule="exact"/>
              <w:jc w:val="center"/>
              <w:rPr>
                <w:rFonts w:hint="eastAsia" w:ascii="Times New Roman" w:hAnsi="Times New Roman" w:eastAsia="仿宋_GB2312" w:cs="Times New Roman"/>
                <w:kern w:val="2"/>
                <w:sz w:val="24"/>
                <w:szCs w:val="24"/>
                <w:vertAlign w:val="baseline"/>
                <w:lang w:val="en-US" w:eastAsia="zh-CN" w:bidi="ar-SA"/>
              </w:rPr>
            </w:pPr>
            <w:r>
              <w:rPr>
                <w:rFonts w:hint="eastAsia" w:ascii="Times New Roman" w:hAnsi="Times New Roman" w:cs="Times New Roman"/>
                <w:sz w:val="24"/>
                <w:szCs w:val="24"/>
                <w:vertAlign w:val="baseline"/>
                <w:lang w:val="en-US" w:eastAsia="zh-CN"/>
              </w:rPr>
              <w:t>已完成</w:t>
            </w:r>
          </w:p>
        </w:tc>
        <w:tc>
          <w:tcPr>
            <w:tcW w:w="1114" w:type="dxa"/>
            <w:shd w:val="clear" w:color="auto" w:fill="auto"/>
            <w:vAlign w:val="center"/>
          </w:tcPr>
          <w:p>
            <w:pPr>
              <w:pageBreakBefore w:val="0"/>
              <w:kinsoku/>
              <w:overflowPunct/>
              <w:topLinePunct w:val="0"/>
              <w:autoSpaceDE/>
              <w:autoSpaceDN/>
              <w:bidi w:val="0"/>
              <w:adjustRightInd/>
              <w:snapToGrid/>
              <w:spacing w:line="560" w:lineRule="exact"/>
              <w:jc w:val="center"/>
              <w:rPr>
                <w:rFonts w:hint="eastAsia" w:ascii="Times New Roman" w:hAnsi="Times New Roman" w:eastAsia="仿宋_GB2312" w:cs="Times New Roman"/>
                <w:kern w:val="2"/>
                <w:sz w:val="24"/>
                <w:szCs w:val="24"/>
                <w:vertAlign w:val="baseline"/>
                <w:lang w:val="en-US" w:eastAsia="zh-CN" w:bidi="ar-SA"/>
              </w:rPr>
            </w:pPr>
            <w:r>
              <w:rPr>
                <w:rFonts w:hint="eastAsia" w:ascii="Times New Roman" w:hAnsi="Times New Roman" w:cs="Times New Roman"/>
                <w:sz w:val="24"/>
                <w:szCs w:val="24"/>
                <w:vertAlign w:val="baseline"/>
                <w:lang w:val="en-US" w:eastAsia="zh-CN"/>
              </w:rPr>
              <w:t>100%</w:t>
            </w:r>
          </w:p>
        </w:tc>
      </w:tr>
    </w:tbl>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指标完成情况</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lang w:val="en-US" w:eastAsia="zh-CN"/>
        </w:rPr>
      </w:pPr>
      <w:r>
        <w:rPr>
          <w:rFonts w:hint="default" w:ascii="仿宋_GB2312" w:hAnsi="仿宋_GB2312" w:eastAsia="仿宋_GB2312" w:cs="仿宋_GB2312"/>
          <w:sz w:val="32"/>
          <w:szCs w:val="32"/>
          <w:lang w:val="en-US" w:eastAsia="zh-CN"/>
        </w:rPr>
        <w:t>为</w:t>
      </w:r>
      <w:r>
        <w:rPr>
          <w:rFonts w:hint="eastAsia" w:ascii="仿宋_GB2312" w:hAnsi="仿宋_GB2312" w:cs="仿宋_GB2312"/>
          <w:sz w:val="32"/>
          <w:szCs w:val="32"/>
          <w:lang w:val="zh-CN"/>
        </w:rPr>
        <w:t>达到</w:t>
      </w:r>
      <w:r>
        <w:rPr>
          <w:rFonts w:hint="eastAsia" w:ascii="仿宋_GB2312" w:hAnsi="仿宋_GB2312" w:eastAsia="仿宋_GB2312" w:cs="仿宋_GB2312"/>
          <w:sz w:val="32"/>
          <w:szCs w:val="32"/>
          <w:lang w:val="en-US" w:eastAsia="zh-CN"/>
        </w:rPr>
        <w:t>储备土地精细化管理，努力提升资产效益，提升对土地的集约节约利用能力指标完成情况如下：</w:t>
      </w:r>
    </w:p>
    <w:tbl>
      <w:tblPr>
        <w:tblStyle w:val="12"/>
        <w:tblW w:w="487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5"/>
        <w:gridCol w:w="1725"/>
        <w:gridCol w:w="787"/>
        <w:gridCol w:w="881"/>
        <w:gridCol w:w="1275"/>
        <w:gridCol w:w="1143"/>
        <w:gridCol w:w="1013"/>
        <w:gridCol w:w="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年度绩效目标</w:t>
            </w: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重点履职项目</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一级指标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二级指标</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三级指标</w:t>
            </w:r>
          </w:p>
        </w:tc>
        <w:tc>
          <w:tcPr>
            <w:tcW w:w="6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绩效指标值</w:t>
            </w:r>
          </w:p>
        </w:tc>
        <w:tc>
          <w:tcPr>
            <w:tcW w:w="5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实际完成指标值</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5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实现储备土地精细化管理，努力提升资产效益，提升对土地的集约节约利用能力</w:t>
            </w: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项目一：</w:t>
            </w:r>
            <w:r>
              <w:rPr>
                <w:rFonts w:hint="default" w:ascii="Times New Roman" w:hAnsi="Times New Roman" w:cs="Times New Roman"/>
                <w:sz w:val="21"/>
                <w:szCs w:val="21"/>
                <w:vertAlign w:val="baseline"/>
                <w:lang w:val="en-US" w:eastAsia="zh-CN"/>
              </w:rPr>
              <w:t>国有土地使用权让支出(补助支出）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效益指标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社会效益指标</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优化土地利用结构情况</w:t>
            </w:r>
          </w:p>
        </w:tc>
        <w:tc>
          <w:tcPr>
            <w:tcW w:w="6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良好</w:t>
            </w:r>
          </w:p>
        </w:tc>
        <w:tc>
          <w:tcPr>
            <w:tcW w:w="5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良好</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59"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项目二：储备土地计划编制、管护等费用</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效益指标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社会效益指标</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提高储备土地管护质量</w:t>
            </w:r>
          </w:p>
        </w:tc>
        <w:tc>
          <w:tcPr>
            <w:tcW w:w="6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良好</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良好</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659"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项目三：</w:t>
            </w:r>
            <w:r>
              <w:rPr>
                <w:rFonts w:hint="default" w:ascii="Times New Roman" w:hAnsi="Times New Roman" w:cs="Times New Roman"/>
                <w:sz w:val="21"/>
                <w:szCs w:val="21"/>
                <w:vertAlign w:val="baseline"/>
                <w:lang w:val="en-US" w:eastAsia="zh-CN"/>
              </w:rPr>
              <w:t>政府债券发行费用</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效益指标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经济</w:t>
            </w:r>
            <w:r>
              <w:rPr>
                <w:rFonts w:hint="eastAsia" w:ascii="Times New Roman" w:hAnsi="Times New Roman" w:cs="Times New Roman"/>
                <w:sz w:val="21"/>
                <w:szCs w:val="21"/>
                <w:vertAlign w:val="baseline"/>
                <w:lang w:val="en-US" w:eastAsia="zh-CN"/>
              </w:rPr>
              <w:t>效益指标</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有助于地方经济发展，保持经济稳定增长</w:t>
            </w:r>
          </w:p>
        </w:tc>
        <w:tc>
          <w:tcPr>
            <w:tcW w:w="6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良好</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良好</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659"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项目四：</w:t>
            </w:r>
            <w:r>
              <w:rPr>
                <w:rFonts w:hint="default" w:ascii="Times New Roman" w:hAnsi="Times New Roman" w:cs="Times New Roman"/>
                <w:sz w:val="21"/>
                <w:szCs w:val="21"/>
                <w:vertAlign w:val="baseline"/>
                <w:lang w:val="en-US" w:eastAsia="zh-CN"/>
              </w:rPr>
              <w:t>土地储备专项债券资金利息及还息手续费</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效益指标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经济</w:t>
            </w:r>
            <w:r>
              <w:rPr>
                <w:rFonts w:hint="eastAsia" w:ascii="Times New Roman" w:hAnsi="Times New Roman" w:cs="Times New Roman"/>
                <w:sz w:val="21"/>
                <w:szCs w:val="21"/>
                <w:vertAlign w:val="baseline"/>
                <w:lang w:val="en-US" w:eastAsia="zh-CN"/>
              </w:rPr>
              <w:t>效益指标</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对城市建设和经济发展的贡献情况</w:t>
            </w:r>
          </w:p>
        </w:tc>
        <w:tc>
          <w:tcPr>
            <w:tcW w:w="6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仿宋_GB2312" w:cs="Times New Roman"/>
                <w:kern w:val="2"/>
                <w:sz w:val="21"/>
                <w:szCs w:val="21"/>
                <w:vertAlign w:val="baseline"/>
                <w:lang w:val="en-US" w:eastAsia="zh-CN" w:bidi="ar-SA"/>
              </w:rPr>
            </w:pPr>
            <w:r>
              <w:rPr>
                <w:rFonts w:hint="default" w:ascii="Times New Roman" w:hAnsi="Times New Roman" w:cs="Times New Roman"/>
                <w:sz w:val="21"/>
                <w:szCs w:val="21"/>
                <w:vertAlign w:val="baseline"/>
                <w:lang w:val="en-US" w:eastAsia="zh-CN"/>
              </w:rPr>
              <w:t>良好</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kern w:val="2"/>
                <w:sz w:val="21"/>
                <w:szCs w:val="21"/>
                <w:vertAlign w:val="baseline"/>
                <w:lang w:val="en-US" w:eastAsia="zh-CN" w:bidi="ar-SA"/>
              </w:rPr>
            </w:pPr>
            <w:r>
              <w:rPr>
                <w:rFonts w:hint="default" w:ascii="Times New Roman" w:hAnsi="Times New Roman" w:cs="Times New Roman"/>
                <w:sz w:val="21"/>
                <w:szCs w:val="21"/>
                <w:vertAlign w:val="baseline"/>
                <w:lang w:val="en-US" w:eastAsia="zh-CN"/>
              </w:rPr>
              <w:t>良好</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仿宋_GB2312" w:cs="Times New Roman"/>
                <w:kern w:val="2"/>
                <w:sz w:val="21"/>
                <w:szCs w:val="21"/>
                <w:vertAlign w:val="baseline"/>
                <w:lang w:val="en-US" w:eastAsia="zh-CN" w:bidi="ar-SA"/>
              </w:rPr>
            </w:pPr>
            <w:r>
              <w:rPr>
                <w:rFonts w:hint="eastAsia" w:ascii="Times New Roman" w:hAnsi="Times New Roman" w:cs="Times New Roman"/>
                <w:sz w:val="21"/>
                <w:szCs w:val="21"/>
                <w:vertAlign w:val="baseline"/>
                <w:lang w:val="en-US" w:eastAsia="zh-CN"/>
              </w:rPr>
              <w:t>100%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firstLine="663" w:firstLineChars="200"/>
        <w:contextualSpacing/>
        <w:jc w:val="both"/>
        <w:textAlignment w:val="auto"/>
        <w:outlineLvl w:val="9"/>
        <w:rPr>
          <w:rFonts w:hint="eastAsia" w:eastAsia="楷体_GB2312" w:cs="楷体_GB2312"/>
          <w:color w:val="000000"/>
          <w:kern w:val="0"/>
          <w:sz w:val="33"/>
          <w:szCs w:val="33"/>
          <w:highlight w:val="none"/>
          <w:shd w:val="clear" w:color="auto" w:fill="FFFFFF"/>
          <w:lang w:val="en-US" w:eastAsia="zh-CN"/>
        </w:rPr>
      </w:pPr>
      <w:r>
        <w:rPr>
          <w:rFonts w:hint="eastAsia" w:ascii="Times New Roman" w:hAnsi="Times New Roman" w:eastAsia="楷体_GB2312" w:cs="楷体_GB2312"/>
          <w:b/>
          <w:bCs/>
          <w:color w:val="000000"/>
          <w:kern w:val="0"/>
          <w:sz w:val="33"/>
          <w:szCs w:val="33"/>
          <w:highlight w:val="none"/>
          <w:shd w:val="clear" w:color="auto" w:fill="FFFFFF"/>
          <w:lang w:val="en-US" w:eastAsia="zh-CN"/>
        </w:rPr>
        <w:t>2.</w:t>
      </w:r>
      <w:r>
        <w:rPr>
          <w:rFonts w:hint="default" w:ascii="Times New Roman" w:hAnsi="Times New Roman" w:eastAsia="楷体_GB2312" w:cs="楷体_GB2312"/>
          <w:b/>
          <w:bCs/>
          <w:color w:val="000000"/>
          <w:kern w:val="0"/>
          <w:sz w:val="33"/>
          <w:szCs w:val="33"/>
          <w:highlight w:val="none"/>
          <w:shd w:val="clear" w:color="auto" w:fill="FFFFFF"/>
          <w:lang w:val="zh-CN"/>
        </w:rPr>
        <w:t>预算管理</w:t>
      </w:r>
      <w:r>
        <w:rPr>
          <w:rFonts w:hint="eastAsia" w:ascii="Times New Roman" w:hAnsi="Times New Roman" w:eastAsia="楷体_GB2312" w:cs="楷体_GB2312"/>
          <w:b/>
          <w:bCs/>
          <w:color w:val="000000"/>
          <w:kern w:val="0"/>
          <w:sz w:val="33"/>
          <w:szCs w:val="33"/>
          <w:highlight w:val="none"/>
          <w:shd w:val="clear" w:color="auto" w:fill="FFFFFF"/>
          <w:lang w:val="zh-CN"/>
        </w:rPr>
        <w:t>。</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zh-CN"/>
        </w:rPr>
        <w:t>预算编制质量</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w:t>
      </w:r>
      <w:r>
        <w:rPr>
          <w:rFonts w:hint="eastAsia" w:ascii="仿宋_GB2312" w:hAnsi="仿宋_GB2312" w:cs="仿宋_GB2312"/>
          <w:sz w:val="32"/>
          <w:szCs w:val="32"/>
          <w:lang w:val="en-US" w:eastAsia="zh-CN"/>
        </w:rPr>
        <w:t>2024</w:t>
      </w:r>
      <w:r>
        <w:rPr>
          <w:rFonts w:hint="eastAsia" w:ascii="仿宋_GB2312" w:hAnsi="仿宋_GB2312" w:eastAsia="仿宋_GB2312" w:cs="仿宋_GB2312"/>
          <w:sz w:val="32"/>
          <w:szCs w:val="32"/>
          <w:lang w:val="en-US" w:eastAsia="zh-CN"/>
        </w:rPr>
        <w:t>年初预算批复文件及2024年1-12月预算可执行情况表。本单位2024年偏离度0.12%。根据《部门整体支出绩效自评打分表》的评分说明本项指标权重</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lang w:val="en-US" w:eastAsia="zh-CN"/>
        </w:rPr>
        <w:t>分、得分7.99分。具体如下：</w:t>
      </w:r>
    </w:p>
    <w:p>
      <w:pPr>
        <w:keepNext w:val="0"/>
        <w:keepLines w:val="0"/>
        <w:pageBreakBefore w:val="0"/>
        <w:widowControl/>
        <w:kinsoku/>
        <w:wordWrap/>
        <w:overflowPunct/>
        <w:topLinePunct w:val="0"/>
        <w:autoSpaceDE/>
        <w:autoSpaceDN/>
        <w:bidi w:val="0"/>
        <w:adjustRightInd w:val="0"/>
        <w:snapToGrid w:val="0"/>
        <w:spacing w:line="240" w:lineRule="exact"/>
        <w:contextualSpacing/>
        <w:jc w:val="right"/>
        <w:textAlignment w:val="auto"/>
        <w:rPr>
          <w:rFonts w:hint="eastAsia"/>
          <w:lang w:val="en-US" w:eastAsia="zh-CN"/>
        </w:rPr>
      </w:pPr>
      <w:r>
        <w:rPr>
          <w:rFonts w:hint="eastAsia" w:ascii="宋体" w:hAnsi="宋体" w:eastAsia="宋体" w:cs="宋体"/>
          <w:color w:val="000000"/>
          <w:kern w:val="0"/>
          <w:sz w:val="22"/>
          <w:szCs w:val="22"/>
          <w:shd w:val="clear" w:color="auto" w:fill="FFFFFF"/>
          <w:lang w:val="zh-CN"/>
        </w:rPr>
        <w:t>单位：万元</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3"/>
        <w:gridCol w:w="2005"/>
        <w:gridCol w:w="2004"/>
        <w:gridCol w:w="2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3"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预算编制质量</w:t>
            </w:r>
          </w:p>
        </w:tc>
        <w:tc>
          <w:tcPr>
            <w:tcW w:w="2005"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预算执行数</w:t>
            </w:r>
          </w:p>
        </w:tc>
        <w:tc>
          <w:tcPr>
            <w:tcW w:w="2004"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调整预算数</w:t>
            </w:r>
          </w:p>
        </w:tc>
        <w:tc>
          <w:tcPr>
            <w:tcW w:w="2782"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财政拨款预算偏离度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2123"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财政拨款</w:t>
            </w:r>
          </w:p>
        </w:tc>
        <w:tc>
          <w:tcPr>
            <w:tcW w:w="2005"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8406.68</w:t>
            </w:r>
          </w:p>
        </w:tc>
        <w:tc>
          <w:tcPr>
            <w:tcW w:w="2004"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 xml:space="preserve">8417.16  </w:t>
            </w:r>
          </w:p>
        </w:tc>
        <w:tc>
          <w:tcPr>
            <w:tcW w:w="2782"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0.12%</w:t>
            </w:r>
          </w:p>
        </w:tc>
      </w:tr>
    </w:tbl>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（2）支出执行进度</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w:t>
      </w:r>
      <w:r>
        <w:rPr>
          <w:rFonts w:hint="eastAsia" w:ascii="仿宋_GB2312" w:hAnsi="仿宋_GB2312" w:cs="仿宋_GB2312"/>
          <w:sz w:val="32"/>
          <w:szCs w:val="32"/>
          <w:lang w:val="en-US" w:eastAsia="zh-CN"/>
        </w:rPr>
        <w:t>2024</w:t>
      </w:r>
      <w:r>
        <w:rPr>
          <w:rFonts w:hint="eastAsia" w:ascii="仿宋_GB2312" w:hAnsi="仿宋_GB2312" w:eastAsia="仿宋_GB2312" w:cs="仿宋_GB2312"/>
          <w:sz w:val="32"/>
          <w:szCs w:val="32"/>
          <w:lang w:val="en-US" w:eastAsia="zh-CN"/>
        </w:rPr>
        <w:t>年初预算批复文件</w:t>
      </w:r>
      <w:r>
        <w:rPr>
          <w:rFonts w:hint="eastAsia" w:ascii="仿宋_GB2312" w:hAnsi="仿宋_GB2312" w:cs="仿宋_GB2312"/>
          <w:sz w:val="32"/>
          <w:szCs w:val="32"/>
          <w:lang w:val="en-US" w:eastAsia="zh-CN"/>
        </w:rPr>
        <w:t>和</w:t>
      </w:r>
      <w:r>
        <w:rPr>
          <w:rFonts w:hint="eastAsia" w:ascii="仿宋_GB2312" w:hAnsi="仿宋_GB2312" w:eastAsia="仿宋_GB2312" w:cs="仿宋_GB2312"/>
          <w:sz w:val="32"/>
          <w:szCs w:val="32"/>
          <w:lang w:val="en-US" w:eastAsia="zh-CN"/>
        </w:rPr>
        <w:t>2024年1-12月预算可执行情况表</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本单位</w:t>
      </w:r>
      <w:r>
        <w:rPr>
          <w:rFonts w:hint="eastAsia" w:ascii="仿宋_GB2312" w:hAnsi="仿宋_GB2312" w:cs="仿宋_GB2312"/>
          <w:sz w:val="32"/>
          <w:szCs w:val="32"/>
          <w:lang w:val="en-US" w:eastAsia="zh-CN"/>
        </w:rPr>
        <w:t>专项预算项目执行率99.69%。</w:t>
      </w:r>
      <w:r>
        <w:rPr>
          <w:rFonts w:hint="eastAsia" w:ascii="仿宋_GB2312" w:hAnsi="仿宋_GB2312" w:eastAsia="仿宋_GB2312" w:cs="仿宋_GB2312"/>
          <w:sz w:val="32"/>
          <w:szCs w:val="32"/>
          <w:lang w:val="en-US" w:eastAsia="zh-CN"/>
        </w:rPr>
        <w:t>根据《部门整体支出绩效自评打分表》的评分说明本项指标权重</w:t>
      </w:r>
      <w:r>
        <w:rPr>
          <w:rFonts w:hint="eastAsia" w:ascii="仿宋_GB2312" w:hAnsi="仿宋_GB2312" w:cs="仿宋_GB2312"/>
          <w:sz w:val="32"/>
          <w:szCs w:val="32"/>
          <w:lang w:val="en-US" w:eastAsia="zh-CN"/>
        </w:rPr>
        <w:t>9</w:t>
      </w:r>
      <w:r>
        <w:rPr>
          <w:rFonts w:hint="eastAsia" w:ascii="仿宋_GB2312" w:hAnsi="仿宋_GB2312" w:eastAsia="仿宋_GB2312" w:cs="仿宋_GB2312"/>
          <w:sz w:val="32"/>
          <w:szCs w:val="32"/>
          <w:lang w:val="en-US" w:eastAsia="zh-CN"/>
        </w:rPr>
        <w:t>分、得分</w:t>
      </w:r>
      <w:r>
        <w:rPr>
          <w:rFonts w:hint="eastAsia" w:ascii="仿宋_GB2312" w:hAnsi="仿宋_GB2312" w:cs="仿宋_GB2312"/>
          <w:sz w:val="32"/>
          <w:szCs w:val="32"/>
          <w:lang w:val="en-US" w:eastAsia="zh-CN"/>
        </w:rPr>
        <w:t>8.99</w:t>
      </w:r>
      <w:r>
        <w:rPr>
          <w:rFonts w:hint="eastAsia" w:ascii="仿宋_GB2312" w:hAnsi="仿宋_GB2312" w:eastAsia="仿宋_GB2312" w:cs="仿宋_GB2312"/>
          <w:sz w:val="32"/>
          <w:szCs w:val="32"/>
          <w:lang w:val="en-US" w:eastAsia="zh-CN"/>
        </w:rPr>
        <w:t>分。本单位2024年支出执行进度具体如下：</w:t>
      </w:r>
    </w:p>
    <w:p>
      <w:pPr>
        <w:keepNext w:val="0"/>
        <w:keepLines w:val="0"/>
        <w:pageBreakBefore w:val="0"/>
        <w:kinsoku/>
        <w:wordWrap/>
        <w:overflowPunct/>
        <w:topLinePunct w:val="0"/>
        <w:autoSpaceDE/>
        <w:autoSpaceDN/>
        <w:bidi w:val="0"/>
        <w:spacing w:line="240" w:lineRule="exact"/>
        <w:jc w:val="both"/>
        <w:textAlignment w:val="auto"/>
        <w:rPr>
          <w:rFonts w:hint="eastAsia" w:ascii="宋体" w:hAnsi="宋体" w:eastAsia="宋体" w:cs="宋体"/>
          <w:color w:val="000000"/>
          <w:kern w:val="0"/>
          <w:sz w:val="22"/>
          <w:szCs w:val="22"/>
          <w:shd w:val="clear" w:color="auto" w:fill="FFFFFF"/>
          <w:lang w:val="zh-CN"/>
        </w:rPr>
      </w:pPr>
    </w:p>
    <w:tbl>
      <w:tblPr>
        <w:tblStyle w:val="13"/>
        <w:tblpPr w:leftFromText="180" w:rightFromText="180" w:vertAnchor="text" w:horzAnchor="page" w:tblpX="1558" w:tblpY="3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2265"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p>
        </w:tc>
        <w:tc>
          <w:tcPr>
            <w:tcW w:w="2265"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实际支出</w:t>
            </w:r>
          </w:p>
        </w:tc>
        <w:tc>
          <w:tcPr>
            <w:tcW w:w="2265"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预算数</w:t>
            </w:r>
          </w:p>
        </w:tc>
        <w:tc>
          <w:tcPr>
            <w:tcW w:w="2266"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支出执行进度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2265"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专项预算项目</w:t>
            </w:r>
          </w:p>
        </w:tc>
        <w:tc>
          <w:tcPr>
            <w:tcW w:w="2265"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8200.02</w:t>
            </w:r>
          </w:p>
        </w:tc>
        <w:tc>
          <w:tcPr>
            <w:tcW w:w="2265"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8200.08</w:t>
            </w:r>
          </w:p>
        </w:tc>
        <w:tc>
          <w:tcPr>
            <w:tcW w:w="2266" w:type="dxa"/>
          </w:tcPr>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99.99%</w:t>
            </w:r>
          </w:p>
        </w:tc>
      </w:tr>
    </w:tbl>
    <w:p>
      <w:pPr>
        <w:keepNext w:val="0"/>
        <w:keepLines w:val="0"/>
        <w:pageBreakBefore w:val="0"/>
        <w:widowControl/>
        <w:kinsoku/>
        <w:wordWrap/>
        <w:overflowPunct/>
        <w:topLinePunct w:val="0"/>
        <w:autoSpaceDE/>
        <w:autoSpaceDN/>
        <w:bidi w:val="0"/>
        <w:adjustRightInd w:val="0"/>
        <w:snapToGrid w:val="0"/>
        <w:spacing w:line="240" w:lineRule="exact"/>
        <w:contextualSpacing/>
        <w:jc w:val="right"/>
        <w:textAlignment w:val="auto"/>
        <w:rPr>
          <w:rFonts w:hint="eastAsia" w:ascii="仿宋_GB2312" w:hAnsi="仿宋_GB2312" w:cs="仿宋_GB2312"/>
          <w:sz w:val="32"/>
          <w:szCs w:val="32"/>
          <w:lang w:val="zh-CN" w:eastAsia="zh-CN"/>
        </w:rPr>
      </w:pPr>
      <w:r>
        <w:rPr>
          <w:rFonts w:hint="eastAsia" w:ascii="宋体" w:hAnsi="宋体" w:eastAsia="宋体" w:cs="宋体"/>
          <w:color w:val="000000"/>
          <w:kern w:val="0"/>
          <w:sz w:val="22"/>
          <w:szCs w:val="22"/>
          <w:shd w:val="clear" w:color="auto" w:fill="FFFFFF"/>
          <w:lang w:val="zh-CN"/>
        </w:rPr>
        <w:t>单位：万元</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（3）预算年终结余</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根据根据2024年初预算批复文件、2024年1-12月预算可执行情况表及2024年部门决算表，本单位2024年年终部门预算注销金额10.48万元和结转金额0万元。2024年，部门预算8417.16万元。部门整体预算结余率为0。根据《部门整体支出绩效自评打分表》的评分说明本项指标权重8分、得分7.99分。</w:t>
      </w:r>
    </w:p>
    <w:p>
      <w:pPr>
        <w:keepNext w:val="0"/>
        <w:keepLines w:val="0"/>
        <w:pageBreakBefore w:val="0"/>
        <w:widowControl/>
        <w:kinsoku/>
        <w:wordWrap/>
        <w:overflowPunct/>
        <w:topLinePunct w:val="0"/>
        <w:autoSpaceDE/>
        <w:autoSpaceDN/>
        <w:bidi w:val="0"/>
        <w:adjustRightInd w:val="0"/>
        <w:snapToGrid w:val="0"/>
        <w:spacing w:line="240" w:lineRule="exact"/>
        <w:contextualSpacing/>
        <w:jc w:val="right"/>
        <w:textAlignment w:val="auto"/>
        <w:rPr>
          <w:rFonts w:hint="eastAsia" w:ascii="宋体" w:hAnsi="宋体" w:eastAsia="宋体" w:cs="宋体"/>
          <w:color w:val="000000"/>
          <w:kern w:val="0"/>
          <w:sz w:val="22"/>
          <w:szCs w:val="22"/>
          <w:shd w:val="clear" w:color="auto" w:fill="FFFFFF"/>
          <w:lang w:val="zh-CN" w:eastAsia="zh-CN"/>
        </w:rPr>
      </w:pPr>
    </w:p>
    <w:p>
      <w:pPr>
        <w:keepNext w:val="0"/>
        <w:keepLines w:val="0"/>
        <w:pageBreakBefore w:val="0"/>
        <w:widowControl/>
        <w:kinsoku/>
        <w:wordWrap/>
        <w:overflowPunct/>
        <w:topLinePunct w:val="0"/>
        <w:autoSpaceDE/>
        <w:autoSpaceDN/>
        <w:bidi w:val="0"/>
        <w:adjustRightInd w:val="0"/>
        <w:snapToGrid w:val="0"/>
        <w:spacing w:line="240" w:lineRule="exact"/>
        <w:contextualSpacing/>
        <w:jc w:val="right"/>
        <w:textAlignment w:val="auto"/>
        <w:rPr>
          <w:rFonts w:hint="eastAsia" w:ascii="仿宋_GB2312" w:hAnsi="仿宋_GB2312" w:eastAsia="仿宋_GB2312" w:cs="仿宋_GB2312"/>
          <w:b w:val="0"/>
          <w:kern w:val="2"/>
          <w:sz w:val="32"/>
          <w:szCs w:val="32"/>
          <w:lang w:val="en-US" w:eastAsia="zh-CN" w:bidi="ar-SA"/>
        </w:rPr>
      </w:pPr>
      <w:r>
        <w:rPr>
          <w:rFonts w:hint="eastAsia" w:ascii="宋体" w:hAnsi="宋体" w:eastAsia="宋体" w:cs="宋体"/>
          <w:color w:val="000000"/>
          <w:kern w:val="0"/>
          <w:sz w:val="22"/>
          <w:szCs w:val="22"/>
          <w:shd w:val="clear" w:color="auto" w:fill="FFFFFF"/>
          <w:lang w:val="zh-CN" w:eastAsia="zh-CN"/>
        </w:rPr>
        <w:t>单位：万元</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1812"/>
        <w:gridCol w:w="1812"/>
        <w:gridCol w:w="1812"/>
        <w:gridCol w:w="1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81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预算年终结余</w:t>
            </w:r>
          </w:p>
        </w:tc>
        <w:tc>
          <w:tcPr>
            <w:tcW w:w="181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年终部门预算注销金额</w:t>
            </w:r>
          </w:p>
        </w:tc>
        <w:tc>
          <w:tcPr>
            <w:tcW w:w="181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部门预算</w:t>
            </w:r>
            <w:r>
              <w:rPr>
                <w:rFonts w:hint="eastAsia" w:ascii="仿宋_GB2312" w:hAnsi="仿宋_GB2312" w:cs="仿宋_GB2312"/>
                <w:b w:val="0"/>
                <w:kern w:val="2"/>
                <w:sz w:val="24"/>
                <w:szCs w:val="24"/>
                <w:lang w:val="en-US" w:eastAsia="zh-CN" w:bidi="ar-SA"/>
              </w:rPr>
              <w:t>结转金额</w:t>
            </w:r>
          </w:p>
        </w:tc>
        <w:tc>
          <w:tcPr>
            <w:tcW w:w="181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部门预算总金额</w:t>
            </w:r>
          </w:p>
        </w:tc>
        <w:tc>
          <w:tcPr>
            <w:tcW w:w="181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部门整体预算结余率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81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财政拨款</w:t>
            </w:r>
          </w:p>
        </w:tc>
        <w:tc>
          <w:tcPr>
            <w:tcW w:w="181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10.48</w:t>
            </w:r>
          </w:p>
        </w:tc>
        <w:tc>
          <w:tcPr>
            <w:tcW w:w="181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0</w:t>
            </w:r>
          </w:p>
        </w:tc>
        <w:tc>
          <w:tcPr>
            <w:tcW w:w="181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8417.16</w:t>
            </w:r>
          </w:p>
        </w:tc>
        <w:tc>
          <w:tcPr>
            <w:tcW w:w="181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0.12%</w:t>
            </w:r>
          </w:p>
        </w:tc>
      </w:tr>
    </w:tbl>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（4）严控一般性支出</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根据2024年初预算批复文件、2024年1-12月预算可执行情况表及2024年部门决算表</w:t>
      </w:r>
      <w:r>
        <w:rPr>
          <w:rFonts w:hint="eastAsia" w:ascii="仿宋_GB2312" w:hAnsi="仿宋_GB2312" w:cs="仿宋_GB2312"/>
          <w:sz w:val="32"/>
          <w:szCs w:val="32"/>
          <w:lang w:val="en-US" w:eastAsia="zh-CN"/>
        </w:rPr>
        <w:t>，2024年一般性支出指标情况详见下表。</w:t>
      </w:r>
      <w:r>
        <w:rPr>
          <w:rFonts w:hint="eastAsia" w:ascii="仿宋_GB2312" w:hAnsi="仿宋_GB2312" w:eastAsia="仿宋_GB2312" w:cs="仿宋_GB2312"/>
          <w:sz w:val="32"/>
          <w:szCs w:val="32"/>
          <w:lang w:val="en-US" w:eastAsia="zh-CN"/>
        </w:rPr>
        <w:t>根据《部门整体支出绩效自评打分表》的评分说明本项指标权重6分、得分6分。</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00" w:lineRule="exact"/>
        <w:jc w:val="right"/>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zh-CN" w:eastAsia="zh-CN"/>
        </w:rPr>
        <w:t>单位：万元</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2"/>
        <w:gridCol w:w="1118"/>
        <w:gridCol w:w="873"/>
        <w:gridCol w:w="1173"/>
        <w:gridCol w:w="1063"/>
        <w:gridCol w:w="969"/>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2832" w:type="dxa"/>
            <w:vMerge w:val="restart"/>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一般性支出指标</w:t>
            </w:r>
          </w:p>
        </w:tc>
        <w:tc>
          <w:tcPr>
            <w:tcW w:w="1991" w:type="dxa"/>
            <w:gridSpan w:val="2"/>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2023年</w:t>
            </w:r>
          </w:p>
        </w:tc>
        <w:tc>
          <w:tcPr>
            <w:tcW w:w="2236" w:type="dxa"/>
            <w:gridSpan w:val="2"/>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2024年</w:t>
            </w:r>
          </w:p>
        </w:tc>
        <w:tc>
          <w:tcPr>
            <w:tcW w:w="2002" w:type="dxa"/>
            <w:gridSpan w:val="2"/>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较上年增减变化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832" w:type="dxa"/>
            <w:vMerge w:val="continue"/>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p>
        </w:tc>
        <w:tc>
          <w:tcPr>
            <w:tcW w:w="1118" w:type="dxa"/>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年初预算</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决算数</w:t>
            </w:r>
          </w:p>
        </w:tc>
        <w:tc>
          <w:tcPr>
            <w:tcW w:w="1173" w:type="dxa"/>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年初预算</w:t>
            </w:r>
          </w:p>
        </w:tc>
        <w:tc>
          <w:tcPr>
            <w:tcW w:w="1063" w:type="dxa"/>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预算执行</w:t>
            </w:r>
          </w:p>
        </w:tc>
        <w:tc>
          <w:tcPr>
            <w:tcW w:w="969" w:type="dxa"/>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年初预算</w:t>
            </w:r>
          </w:p>
        </w:tc>
        <w:tc>
          <w:tcPr>
            <w:tcW w:w="1033" w:type="dxa"/>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预算执行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832"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eastAsia="仿宋_GB2312" w:cs="Times New Roman"/>
                <w:b w:val="0"/>
                <w:kern w:val="2"/>
                <w:sz w:val="18"/>
                <w:szCs w:val="18"/>
                <w:vertAlign w:val="baseline"/>
                <w:lang w:val="en-US" w:eastAsia="zh-CN" w:bidi="ar-SA"/>
              </w:rPr>
            </w:pPr>
            <w:r>
              <w:rPr>
                <w:rFonts w:hint="eastAsia" w:ascii="Times New Roman" w:hAnsi="Times New Roman" w:eastAsia="仿宋_GB2312" w:cs="Times New Roman"/>
                <w:b w:val="0"/>
                <w:kern w:val="2"/>
                <w:sz w:val="18"/>
                <w:szCs w:val="18"/>
                <w:vertAlign w:val="baseline"/>
                <w:lang w:val="en-US" w:eastAsia="zh-CN" w:bidi="ar-SA"/>
              </w:rPr>
              <w:t>一、“三公”经费</w:t>
            </w:r>
          </w:p>
        </w:tc>
        <w:tc>
          <w:tcPr>
            <w:tcW w:w="1118"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1.2</w:t>
            </w:r>
          </w:p>
        </w:tc>
        <w:tc>
          <w:tcPr>
            <w:tcW w:w="8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0.8</w:t>
            </w:r>
          </w:p>
        </w:tc>
        <w:tc>
          <w:tcPr>
            <w:tcW w:w="106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-0.4</w:t>
            </w:r>
          </w:p>
        </w:tc>
        <w:tc>
          <w:tcPr>
            <w:tcW w:w="103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eastAsia="仿宋_GB2312" w:cs="Times New Roman"/>
                <w:b w:val="0"/>
                <w:kern w:val="2"/>
                <w:sz w:val="18"/>
                <w:szCs w:val="18"/>
                <w:vertAlign w:val="baseline"/>
                <w:lang w:val="en-US" w:eastAsia="zh-CN" w:bidi="ar-SA"/>
              </w:rPr>
            </w:pPr>
            <w:r>
              <w:rPr>
                <w:rFonts w:hint="eastAsia" w:ascii="Times New Roman" w:hAnsi="Times New Roman" w:eastAsia="仿宋_GB2312" w:cs="Times New Roman"/>
                <w:b w:val="0"/>
                <w:kern w:val="2"/>
                <w:sz w:val="18"/>
                <w:szCs w:val="18"/>
                <w:vertAlign w:val="baseline"/>
                <w:lang w:val="en-US" w:eastAsia="zh-CN" w:bidi="ar-SA"/>
              </w:rPr>
              <w:t>（一）公务接待</w:t>
            </w:r>
          </w:p>
        </w:tc>
        <w:tc>
          <w:tcPr>
            <w:tcW w:w="1118"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1.2</w:t>
            </w:r>
          </w:p>
        </w:tc>
        <w:tc>
          <w:tcPr>
            <w:tcW w:w="8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0.8</w:t>
            </w:r>
          </w:p>
        </w:tc>
        <w:tc>
          <w:tcPr>
            <w:tcW w:w="106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-0.4</w:t>
            </w:r>
          </w:p>
        </w:tc>
        <w:tc>
          <w:tcPr>
            <w:tcW w:w="103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eastAsia="仿宋_GB2312" w:cs="Times New Roman"/>
                <w:b w:val="0"/>
                <w:kern w:val="2"/>
                <w:sz w:val="18"/>
                <w:szCs w:val="18"/>
                <w:vertAlign w:val="baseline"/>
                <w:lang w:val="en-US" w:eastAsia="zh-CN" w:bidi="ar-SA"/>
              </w:rPr>
            </w:pPr>
            <w:r>
              <w:rPr>
                <w:rFonts w:hint="eastAsia" w:ascii="Times New Roman" w:hAnsi="Times New Roman" w:eastAsia="仿宋_GB2312" w:cs="Times New Roman"/>
                <w:b w:val="0"/>
                <w:kern w:val="2"/>
                <w:sz w:val="18"/>
                <w:szCs w:val="18"/>
                <w:vertAlign w:val="baseline"/>
                <w:lang w:val="en-US" w:eastAsia="zh-CN" w:bidi="ar-SA"/>
              </w:rPr>
              <w:t>（二）因公出国（境）</w:t>
            </w:r>
          </w:p>
        </w:tc>
        <w:tc>
          <w:tcPr>
            <w:tcW w:w="1118"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eastAsia="仿宋_GB2312" w:cs="Times New Roman"/>
                <w:b w:val="0"/>
                <w:kern w:val="2"/>
                <w:sz w:val="18"/>
                <w:szCs w:val="18"/>
                <w:vertAlign w:val="baseline"/>
                <w:lang w:val="en-US" w:eastAsia="zh-CN" w:bidi="ar-SA"/>
              </w:rPr>
            </w:pPr>
            <w:r>
              <w:rPr>
                <w:rFonts w:hint="eastAsia" w:ascii="Times New Roman" w:hAnsi="Times New Roman" w:eastAsia="仿宋_GB2312" w:cs="Times New Roman"/>
                <w:b w:val="0"/>
                <w:kern w:val="2"/>
                <w:sz w:val="18"/>
                <w:szCs w:val="18"/>
                <w:vertAlign w:val="baseline"/>
                <w:lang w:val="en-US" w:eastAsia="zh-CN" w:bidi="ar-SA"/>
              </w:rPr>
              <w:t>（三）公务用车购置及运行维护费</w:t>
            </w:r>
          </w:p>
        </w:tc>
        <w:tc>
          <w:tcPr>
            <w:tcW w:w="1118"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eastAsia="仿宋_GB2312" w:cs="Times New Roman"/>
                <w:b w:val="0"/>
                <w:kern w:val="2"/>
                <w:sz w:val="18"/>
                <w:szCs w:val="18"/>
                <w:vertAlign w:val="baseline"/>
                <w:lang w:val="en-US" w:eastAsia="zh-CN" w:bidi="ar-SA"/>
              </w:rPr>
            </w:pPr>
            <w:r>
              <w:rPr>
                <w:rFonts w:hint="eastAsia" w:ascii="Times New Roman" w:hAnsi="Times New Roman" w:eastAsia="仿宋_GB2312" w:cs="Times New Roman"/>
                <w:b w:val="0"/>
                <w:kern w:val="2"/>
                <w:sz w:val="18"/>
                <w:szCs w:val="18"/>
                <w:vertAlign w:val="baseline"/>
                <w:lang w:val="en-US" w:eastAsia="zh-CN" w:bidi="ar-SA"/>
              </w:rPr>
              <w:t>其中：1.公务用车购置费</w:t>
            </w:r>
          </w:p>
        </w:tc>
        <w:tc>
          <w:tcPr>
            <w:tcW w:w="1118"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eastAsia="仿宋_GB2312" w:cs="Times New Roman"/>
                <w:b w:val="0"/>
                <w:kern w:val="2"/>
                <w:sz w:val="18"/>
                <w:szCs w:val="18"/>
                <w:vertAlign w:val="baseline"/>
                <w:lang w:val="en-US" w:eastAsia="zh-CN" w:bidi="ar-SA"/>
              </w:rPr>
            </w:pPr>
            <w:r>
              <w:rPr>
                <w:rFonts w:hint="eastAsia" w:ascii="Times New Roman" w:hAnsi="Times New Roman" w:eastAsia="仿宋_GB2312" w:cs="Times New Roman"/>
                <w:b w:val="0"/>
                <w:kern w:val="2"/>
                <w:sz w:val="18"/>
                <w:szCs w:val="18"/>
                <w:vertAlign w:val="baseline"/>
                <w:lang w:val="en-US" w:eastAsia="zh-CN" w:bidi="ar-SA"/>
              </w:rPr>
              <w:t>2.公务用车维护费</w:t>
            </w:r>
          </w:p>
        </w:tc>
        <w:tc>
          <w:tcPr>
            <w:tcW w:w="1118"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Times New Roman" w:hAnsi="Times New Roman" w:eastAsia="仿宋_GB2312" w:cs="Times New Roman"/>
                <w:b w:val="0"/>
                <w:kern w:val="2"/>
                <w:sz w:val="18"/>
                <w:szCs w:val="18"/>
                <w:vertAlign w:val="baseline"/>
                <w:lang w:val="en-US" w:eastAsia="zh-CN" w:bidi="ar-SA"/>
              </w:rPr>
            </w:pPr>
            <w:r>
              <w:rPr>
                <w:rFonts w:hint="eastAsia" w:ascii="Times New Roman" w:hAnsi="Times New Roman" w:eastAsia="仿宋_GB2312" w:cs="Times New Roman"/>
                <w:b w:val="0"/>
                <w:kern w:val="2"/>
                <w:sz w:val="18"/>
                <w:szCs w:val="18"/>
                <w:vertAlign w:val="baseline"/>
                <w:lang w:val="en-US" w:eastAsia="zh-CN" w:bidi="ar-SA"/>
              </w:rPr>
              <w:t>二、会议费</w:t>
            </w:r>
          </w:p>
        </w:tc>
        <w:tc>
          <w:tcPr>
            <w:tcW w:w="1118"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1</w:t>
            </w:r>
          </w:p>
        </w:tc>
        <w:tc>
          <w:tcPr>
            <w:tcW w:w="8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0.5</w:t>
            </w:r>
          </w:p>
        </w:tc>
        <w:tc>
          <w:tcPr>
            <w:tcW w:w="106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-0.5</w:t>
            </w:r>
          </w:p>
        </w:tc>
        <w:tc>
          <w:tcPr>
            <w:tcW w:w="1033"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三、培训费</w:t>
            </w:r>
          </w:p>
        </w:tc>
        <w:tc>
          <w:tcPr>
            <w:tcW w:w="1118"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1.02</w:t>
            </w:r>
          </w:p>
        </w:tc>
        <w:tc>
          <w:tcPr>
            <w:tcW w:w="8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0.52</w:t>
            </w:r>
          </w:p>
        </w:tc>
        <w:tc>
          <w:tcPr>
            <w:tcW w:w="11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-1.02</w:t>
            </w:r>
          </w:p>
        </w:tc>
        <w:tc>
          <w:tcPr>
            <w:tcW w:w="103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四、差旅费</w:t>
            </w:r>
          </w:p>
        </w:tc>
        <w:tc>
          <w:tcPr>
            <w:tcW w:w="1118"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2.55</w:t>
            </w:r>
          </w:p>
        </w:tc>
        <w:tc>
          <w:tcPr>
            <w:tcW w:w="8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2.44</w:t>
            </w:r>
          </w:p>
        </w:tc>
        <w:tc>
          <w:tcPr>
            <w:tcW w:w="11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3</w:t>
            </w:r>
          </w:p>
        </w:tc>
        <w:tc>
          <w:tcPr>
            <w:tcW w:w="106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0.56</w:t>
            </w:r>
          </w:p>
        </w:tc>
        <w:tc>
          <w:tcPr>
            <w:tcW w:w="969"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0.45</w:t>
            </w:r>
          </w:p>
        </w:tc>
        <w:tc>
          <w:tcPr>
            <w:tcW w:w="103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五、办节办展费</w:t>
            </w:r>
          </w:p>
        </w:tc>
        <w:tc>
          <w:tcPr>
            <w:tcW w:w="1118"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六、信息网络及软件购置更新</w:t>
            </w:r>
          </w:p>
        </w:tc>
        <w:tc>
          <w:tcPr>
            <w:tcW w:w="1118"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（一）信息网络费</w:t>
            </w:r>
          </w:p>
        </w:tc>
        <w:tc>
          <w:tcPr>
            <w:tcW w:w="1118"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（二）信息化软硬件维护费</w:t>
            </w:r>
          </w:p>
        </w:tc>
        <w:tc>
          <w:tcPr>
            <w:tcW w:w="1118"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832"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（三）软件购置费</w:t>
            </w:r>
          </w:p>
        </w:tc>
        <w:tc>
          <w:tcPr>
            <w:tcW w:w="1118"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873"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173"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63"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969"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c>
          <w:tcPr>
            <w:tcW w:w="1033"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832"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合计</w:t>
            </w:r>
          </w:p>
        </w:tc>
        <w:tc>
          <w:tcPr>
            <w:tcW w:w="1118"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5.77</w:t>
            </w:r>
          </w:p>
        </w:tc>
        <w:tc>
          <w:tcPr>
            <w:tcW w:w="873"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2.96</w:t>
            </w:r>
          </w:p>
        </w:tc>
        <w:tc>
          <w:tcPr>
            <w:tcW w:w="1173"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4.3</w:t>
            </w:r>
          </w:p>
        </w:tc>
        <w:tc>
          <w:tcPr>
            <w:tcW w:w="1063"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0.56</w:t>
            </w:r>
          </w:p>
        </w:tc>
        <w:tc>
          <w:tcPr>
            <w:tcW w:w="969"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-1.47</w:t>
            </w:r>
          </w:p>
        </w:tc>
        <w:tc>
          <w:tcPr>
            <w:tcW w:w="1033" w:type="dxa"/>
            <w:shd w:val="clear" w:color="auto" w:fill="auto"/>
            <w:vAlign w:val="top"/>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18"/>
                <w:szCs w:val="18"/>
                <w:lang w:val="en-US" w:eastAsia="zh-CN" w:bidi="ar-SA"/>
              </w:rPr>
            </w:pPr>
            <w:r>
              <w:rPr>
                <w:rFonts w:hint="eastAsia" w:ascii="仿宋_GB2312" w:hAnsi="仿宋_GB2312" w:eastAsia="仿宋_GB2312" w:cs="仿宋_GB2312"/>
                <w:b w:val="0"/>
                <w:kern w:val="2"/>
                <w:sz w:val="18"/>
                <w:szCs w:val="18"/>
                <w:lang w:val="en-US" w:eastAsia="zh-CN" w:bidi="ar-SA"/>
              </w:rPr>
              <w:t>-2.4</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63" w:firstLineChars="200"/>
        <w:contextualSpacing/>
        <w:jc w:val="both"/>
        <w:textAlignment w:val="auto"/>
        <w:outlineLvl w:val="9"/>
        <w:rPr>
          <w:rFonts w:hint="eastAsia" w:ascii="Times New Roman" w:hAnsi="Times New Roman" w:eastAsia="楷体_GB2312" w:cs="楷体_GB2312"/>
          <w:b/>
          <w:bCs/>
          <w:color w:val="000000"/>
          <w:kern w:val="0"/>
          <w:sz w:val="33"/>
          <w:szCs w:val="33"/>
          <w:highlight w:val="none"/>
          <w:shd w:val="clear" w:color="auto" w:fill="FFFFFF"/>
          <w:lang w:val="zh-CN" w:eastAsia="zh-CN"/>
        </w:rPr>
      </w:pPr>
      <w:r>
        <w:rPr>
          <w:rFonts w:hint="eastAsia" w:ascii="Times New Roman" w:hAnsi="Times New Roman" w:eastAsia="楷体_GB2312" w:cs="楷体_GB2312"/>
          <w:b/>
          <w:bCs/>
          <w:color w:val="000000"/>
          <w:kern w:val="0"/>
          <w:sz w:val="33"/>
          <w:szCs w:val="33"/>
          <w:highlight w:val="none"/>
          <w:shd w:val="clear" w:color="auto" w:fill="FFFFFF"/>
          <w:lang w:val="en-US" w:eastAsia="zh-CN"/>
        </w:rPr>
        <w:t>3.</w:t>
      </w:r>
      <w:r>
        <w:rPr>
          <w:rFonts w:hint="default" w:ascii="Times New Roman" w:hAnsi="Times New Roman" w:eastAsia="楷体_GB2312" w:cs="楷体_GB2312"/>
          <w:b/>
          <w:bCs/>
          <w:color w:val="000000"/>
          <w:kern w:val="0"/>
          <w:sz w:val="33"/>
          <w:szCs w:val="33"/>
          <w:highlight w:val="none"/>
          <w:shd w:val="clear" w:color="auto" w:fill="FFFFFF"/>
          <w:lang w:val="zh-CN" w:eastAsia="zh-CN"/>
        </w:rPr>
        <w:t>资产管理</w:t>
      </w:r>
      <w:r>
        <w:rPr>
          <w:rFonts w:hint="eastAsia" w:ascii="Times New Roman" w:hAnsi="Times New Roman" w:eastAsia="楷体_GB2312" w:cs="楷体_GB2312"/>
          <w:b/>
          <w:bCs/>
          <w:color w:val="000000"/>
          <w:kern w:val="0"/>
          <w:sz w:val="33"/>
          <w:szCs w:val="33"/>
          <w:highlight w:val="none"/>
          <w:shd w:val="clear" w:color="auto" w:fill="FFFFFF"/>
          <w:lang w:val="zh-CN"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en-US" w:eastAsia="zh-CN" w:bidi="ar-SA"/>
        </w:rPr>
        <w:t>1</w:t>
      </w:r>
      <w:r>
        <w:rPr>
          <w:rFonts w:hint="eastAsia" w:ascii="仿宋_GB2312" w:hAnsi="仿宋_GB2312" w:eastAsia="仿宋_GB2312" w:cs="仿宋_GB2312"/>
          <w:b w:val="0"/>
          <w:kern w:val="2"/>
          <w:sz w:val="32"/>
          <w:szCs w:val="32"/>
          <w:lang w:val="zh-CN" w:eastAsia="zh-CN" w:bidi="ar-SA"/>
        </w:rPr>
        <w:t>）人均资产变化率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 xml:space="preserve"> 根据2024年部门决算报表、部门预算报表及部门行政事业性国有资产报表资料，本</w:t>
      </w:r>
      <w:r>
        <w:rPr>
          <w:rFonts w:hint="eastAsia" w:ascii="仿宋_GB2312" w:hAnsi="仿宋_GB2312" w:cs="仿宋_GB2312"/>
          <w:b w:val="0"/>
          <w:kern w:val="2"/>
          <w:sz w:val="32"/>
          <w:szCs w:val="32"/>
          <w:lang w:val="en-US" w:eastAsia="zh-CN" w:bidi="ar-SA"/>
        </w:rPr>
        <w:t>单位</w:t>
      </w:r>
      <w:r>
        <w:rPr>
          <w:rFonts w:hint="eastAsia" w:ascii="仿宋_GB2312" w:hAnsi="仿宋_GB2312" w:eastAsia="仿宋_GB2312" w:cs="仿宋_GB2312"/>
          <w:b w:val="0"/>
          <w:kern w:val="2"/>
          <w:sz w:val="32"/>
          <w:szCs w:val="32"/>
          <w:lang w:val="en-US" w:eastAsia="zh-CN" w:bidi="ar-SA"/>
        </w:rPr>
        <w:t>人均资产变化率</w:t>
      </w:r>
      <w:r>
        <w:rPr>
          <w:rFonts w:hint="eastAsia" w:ascii="仿宋_GB2312" w:hAnsi="仿宋_GB2312" w:cs="仿宋_GB2312"/>
          <w:b w:val="0"/>
          <w:kern w:val="2"/>
          <w:sz w:val="32"/>
          <w:szCs w:val="32"/>
          <w:lang w:val="en-US" w:eastAsia="zh-CN" w:bidi="ar-SA"/>
        </w:rPr>
        <w:t>-26.71</w:t>
      </w:r>
      <w:r>
        <w:rPr>
          <w:rFonts w:hint="eastAsia" w:ascii="仿宋_GB2312" w:hAnsi="仿宋_GB2312" w:eastAsia="仿宋_GB2312" w:cs="仿宋_GB2312"/>
          <w:b w:val="0"/>
          <w:kern w:val="2"/>
          <w:sz w:val="32"/>
          <w:szCs w:val="32"/>
          <w:lang w:val="en-US" w:eastAsia="zh-CN" w:bidi="ar-SA"/>
        </w:rPr>
        <w:t>%（其中2024年行政事业单位人均占有资产</w:t>
      </w:r>
      <w:r>
        <w:rPr>
          <w:rFonts w:hint="eastAsia" w:ascii="仿宋_GB2312" w:hAnsi="仿宋_GB2312" w:cs="仿宋_GB2312"/>
          <w:b w:val="0"/>
          <w:kern w:val="2"/>
          <w:sz w:val="32"/>
          <w:szCs w:val="32"/>
          <w:lang w:val="en-US" w:eastAsia="zh-CN" w:bidi="ar-SA"/>
        </w:rPr>
        <w:t>0.58</w:t>
      </w:r>
      <w:r>
        <w:rPr>
          <w:rFonts w:hint="eastAsia" w:ascii="仿宋_GB2312" w:hAnsi="仿宋_GB2312" w:eastAsia="仿宋_GB2312" w:cs="仿宋_GB2312"/>
          <w:b w:val="0"/>
          <w:kern w:val="2"/>
          <w:sz w:val="32"/>
          <w:szCs w:val="32"/>
          <w:lang w:val="en-US" w:eastAsia="zh-CN" w:bidi="ar-SA"/>
        </w:rPr>
        <w:t>万元/人员、2023年行政事业单位人均占有资产</w:t>
      </w:r>
      <w:r>
        <w:rPr>
          <w:rFonts w:hint="eastAsia" w:ascii="仿宋_GB2312" w:hAnsi="仿宋_GB2312" w:cs="仿宋_GB2312"/>
          <w:b w:val="0"/>
          <w:kern w:val="2"/>
          <w:sz w:val="32"/>
          <w:szCs w:val="32"/>
          <w:lang w:val="en-US" w:eastAsia="zh-CN" w:bidi="ar-SA"/>
        </w:rPr>
        <w:t>0.79</w:t>
      </w:r>
      <w:r>
        <w:rPr>
          <w:rFonts w:hint="eastAsia" w:ascii="仿宋_GB2312" w:hAnsi="仿宋_GB2312" w:eastAsia="仿宋_GB2312" w:cs="仿宋_GB2312"/>
          <w:b w:val="0"/>
          <w:kern w:val="2"/>
          <w:sz w:val="32"/>
          <w:szCs w:val="32"/>
          <w:lang w:val="en-US" w:eastAsia="zh-CN" w:bidi="ar-SA"/>
        </w:rPr>
        <w:t>万元/人员）。根据《部门整体支出绩效自评打分表》的评分说明本项指标权重</w:t>
      </w:r>
      <w:r>
        <w:rPr>
          <w:rFonts w:hint="eastAsia" w:ascii="仿宋_GB2312" w:hAnsi="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en-US" w:eastAsia="zh-CN" w:bidi="ar-SA"/>
        </w:rPr>
        <w:t>分、得分</w:t>
      </w:r>
      <w:r>
        <w:rPr>
          <w:rFonts w:hint="eastAsia" w:ascii="仿宋_GB2312" w:hAnsi="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en-US" w:eastAsia="zh-CN" w:bidi="ar-SA"/>
        </w:rPr>
        <w:t>分。具体详见下表</w:t>
      </w:r>
      <w:r>
        <w:rPr>
          <w:rFonts w:hint="eastAsia" w:ascii="仿宋_GB2312" w:hAnsi="仿宋_GB2312" w:cs="仿宋_GB2312"/>
          <w:b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300" w:lineRule="exact"/>
        <w:jc w:val="righ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1"/>
          <w:szCs w:val="21"/>
          <w:vertAlign w:val="baseline"/>
          <w:lang w:val="zh-CN" w:eastAsia="zh-CN"/>
        </w:rPr>
        <w:t>单位：元</w:t>
      </w:r>
    </w:p>
    <w:tbl>
      <w:tblPr>
        <w:tblStyle w:val="13"/>
        <w:tblW w:w="90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390"/>
        <w:gridCol w:w="1350"/>
        <w:gridCol w:w="1296"/>
        <w:gridCol w:w="1227"/>
        <w:gridCol w:w="1314"/>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2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年份</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固定资产净值</w:t>
            </w:r>
          </w:p>
        </w:tc>
        <w:tc>
          <w:tcPr>
            <w:tcW w:w="13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无形资产净值</w:t>
            </w:r>
          </w:p>
        </w:tc>
        <w:tc>
          <w:tcPr>
            <w:tcW w:w="129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资产</w:t>
            </w:r>
            <w:r>
              <w:rPr>
                <w:rFonts w:hint="eastAsia" w:cs="Times New Roman"/>
                <w:sz w:val="24"/>
                <w:szCs w:val="24"/>
                <w:vertAlign w:val="baseline"/>
                <w:lang w:val="zh-CN" w:eastAsia="zh-CN"/>
              </w:rPr>
              <w:t>净值总额</w:t>
            </w:r>
          </w:p>
        </w:tc>
        <w:tc>
          <w:tcPr>
            <w:tcW w:w="122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编制内实有人</w:t>
            </w:r>
            <w:r>
              <w:rPr>
                <w:rFonts w:hint="eastAsia" w:ascii="Times New Roman" w:hAnsi="Times New Roman" w:cs="Times New Roman"/>
                <w:sz w:val="24"/>
                <w:szCs w:val="24"/>
                <w:vertAlign w:val="baseline"/>
                <w:lang w:val="en-US" w:eastAsia="zh-CN"/>
              </w:rPr>
              <w:t>数</w:t>
            </w:r>
          </w:p>
        </w:tc>
        <w:tc>
          <w:tcPr>
            <w:tcW w:w="131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人均资产</w:t>
            </w:r>
          </w:p>
        </w:tc>
        <w:tc>
          <w:tcPr>
            <w:tcW w:w="13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zh-CN" w:eastAsia="zh-CN"/>
              </w:rPr>
              <w:t>人均资产变化率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1210"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2023</w:t>
            </w:r>
          </w:p>
        </w:tc>
        <w:tc>
          <w:tcPr>
            <w:tcW w:w="1390"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70870.61</w:t>
            </w:r>
          </w:p>
        </w:tc>
        <w:tc>
          <w:tcPr>
            <w:tcW w:w="1350"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0</w:t>
            </w:r>
          </w:p>
        </w:tc>
        <w:tc>
          <w:tcPr>
            <w:tcW w:w="1296"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70870.61</w:t>
            </w:r>
          </w:p>
        </w:tc>
        <w:tc>
          <w:tcPr>
            <w:tcW w:w="1227" w:type="dxa"/>
            <w:shd w:val="clear" w:color="auto" w:fill="auto"/>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b w:val="0"/>
                <w:kern w:val="2"/>
                <w:sz w:val="24"/>
                <w:szCs w:val="24"/>
                <w:lang w:val="zh-CN" w:eastAsia="zh-CN" w:bidi="ar-SA"/>
              </w:rPr>
            </w:pPr>
            <w:r>
              <w:rPr>
                <w:rFonts w:hint="eastAsia" w:ascii="仿宋_GB2312" w:hAnsi="仿宋_GB2312" w:eastAsia="仿宋_GB2312" w:cs="仿宋_GB2312"/>
                <w:b w:val="0"/>
                <w:kern w:val="2"/>
                <w:sz w:val="24"/>
                <w:szCs w:val="24"/>
                <w:lang w:val="en-US" w:eastAsia="zh-CN" w:bidi="ar-SA"/>
              </w:rPr>
              <w:t>9</w:t>
            </w:r>
          </w:p>
        </w:tc>
        <w:tc>
          <w:tcPr>
            <w:tcW w:w="1314" w:type="dxa"/>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7874.51</w:t>
            </w:r>
          </w:p>
        </w:tc>
        <w:tc>
          <w:tcPr>
            <w:tcW w:w="1310" w:type="dxa"/>
            <w:vMerge w:val="restart"/>
            <w:vAlign w:val="center"/>
          </w:tcPr>
          <w:p>
            <w:pPr>
              <w:pStyle w:val="2"/>
              <w:keepNext/>
              <w:keepLines/>
              <w:pageBreakBefore w:val="0"/>
              <w:widowControl w:val="0"/>
              <w:kinsoku/>
              <w:wordWrap/>
              <w:overflowPunct/>
              <w:topLinePunct w:val="0"/>
              <w:autoSpaceDE/>
              <w:autoSpaceDN/>
              <w:bidi w:val="0"/>
              <w:adjustRightInd/>
              <w:snapToGrid/>
              <w:spacing w:line="2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-26.71%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12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2024</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51938.51</w:t>
            </w:r>
          </w:p>
        </w:tc>
        <w:tc>
          <w:tcPr>
            <w:tcW w:w="13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0</w:t>
            </w:r>
          </w:p>
        </w:tc>
        <w:tc>
          <w:tcPr>
            <w:tcW w:w="129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51938.51</w:t>
            </w:r>
          </w:p>
        </w:tc>
        <w:tc>
          <w:tcPr>
            <w:tcW w:w="122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kern w:val="2"/>
                <w:sz w:val="24"/>
                <w:szCs w:val="24"/>
                <w:lang w:val="zh-CN" w:eastAsia="zh-CN" w:bidi="ar-SA"/>
              </w:rPr>
            </w:pPr>
            <w:r>
              <w:rPr>
                <w:rFonts w:hint="eastAsia" w:ascii="仿宋_GB2312" w:hAnsi="仿宋_GB2312" w:eastAsia="仿宋_GB2312" w:cs="仿宋_GB2312"/>
                <w:b w:val="0"/>
                <w:kern w:val="2"/>
                <w:sz w:val="24"/>
                <w:szCs w:val="24"/>
                <w:lang w:val="en-US" w:eastAsia="zh-CN" w:bidi="ar-SA"/>
              </w:rPr>
              <w:t>9</w:t>
            </w:r>
          </w:p>
        </w:tc>
        <w:tc>
          <w:tcPr>
            <w:tcW w:w="131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eastAsia="仿宋_GB2312" w:cs="仿宋_GB2312"/>
                <w:b w:val="0"/>
                <w:kern w:val="2"/>
                <w:sz w:val="24"/>
                <w:szCs w:val="24"/>
                <w:lang w:val="en-US" w:eastAsia="zh-CN" w:bidi="ar-SA"/>
              </w:rPr>
              <w:t>5770.95</w:t>
            </w:r>
          </w:p>
        </w:tc>
        <w:tc>
          <w:tcPr>
            <w:tcW w:w="131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p>
        </w:tc>
      </w:tr>
    </w:tbl>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en-US" w:eastAsia="zh-CN" w:bidi="ar-SA"/>
        </w:rPr>
        <w:t>2</w:t>
      </w:r>
      <w:r>
        <w:rPr>
          <w:rFonts w:hint="eastAsia" w:ascii="仿宋_GB2312" w:hAnsi="仿宋_GB2312" w:eastAsia="仿宋_GB2312" w:cs="仿宋_GB2312"/>
          <w:b w:val="0"/>
          <w:kern w:val="2"/>
          <w:sz w:val="32"/>
          <w:szCs w:val="32"/>
          <w:lang w:val="zh-CN" w:eastAsia="zh-CN" w:bidi="ar-SA"/>
        </w:rPr>
        <w:t>）资产利用率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根据</w:t>
      </w:r>
      <w:r>
        <w:rPr>
          <w:rFonts w:hint="eastAsia" w:ascii="仿宋_GB2312" w:hAnsi="仿宋_GB2312" w:cs="仿宋_GB2312"/>
          <w:b w:val="0"/>
          <w:kern w:val="2"/>
          <w:sz w:val="32"/>
          <w:szCs w:val="32"/>
          <w:lang w:val="en-US" w:eastAsia="zh-CN" w:bidi="ar-SA"/>
        </w:rPr>
        <w:t>单位</w:t>
      </w:r>
      <w:r>
        <w:rPr>
          <w:rFonts w:hint="eastAsia" w:ascii="仿宋_GB2312" w:hAnsi="仿宋_GB2312" w:eastAsia="仿宋_GB2312" w:cs="仿宋_GB2312"/>
          <w:b w:val="0"/>
          <w:kern w:val="2"/>
          <w:sz w:val="32"/>
          <w:szCs w:val="32"/>
          <w:lang w:val="zh-CN" w:eastAsia="zh-CN" w:bidi="ar-SA"/>
        </w:rPr>
        <w:t>截至202</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年12月31日固定资产卡片明细数据，超最低使用年限的办公家具资产利用率</w:t>
      </w:r>
      <w:r>
        <w:rPr>
          <w:rFonts w:hint="eastAsia" w:ascii="仿宋_GB2312" w:hAnsi="仿宋_GB2312" w:cs="仿宋_GB2312"/>
          <w:b w:val="0"/>
          <w:kern w:val="2"/>
          <w:sz w:val="32"/>
          <w:szCs w:val="32"/>
          <w:lang w:val="zh-CN" w:eastAsia="zh-CN" w:bidi="ar-SA"/>
        </w:rPr>
        <w:t>为</w:t>
      </w:r>
      <w:r>
        <w:rPr>
          <w:rFonts w:hint="eastAsia" w:ascii="仿宋_GB2312" w:hAnsi="仿宋_GB2312" w:cs="仿宋_GB2312"/>
          <w:b w:val="0"/>
          <w:kern w:val="2"/>
          <w:sz w:val="32"/>
          <w:szCs w:val="32"/>
          <w:lang w:val="en-US" w:eastAsia="zh-CN" w:bidi="ar-SA"/>
        </w:rPr>
        <w:t>0%</w:t>
      </w:r>
      <w:r>
        <w:rPr>
          <w:rFonts w:hint="eastAsia" w:ascii="仿宋_GB2312" w:hAnsi="仿宋_GB2312" w:eastAsia="仿宋_GB2312" w:cs="仿宋_GB2312"/>
          <w:b w:val="0"/>
          <w:kern w:val="2"/>
          <w:sz w:val="32"/>
          <w:szCs w:val="32"/>
          <w:lang w:val="zh-CN" w:eastAsia="zh-CN" w:bidi="ar-SA"/>
        </w:rPr>
        <w:t>；超最低使用年限的办公设备资产利用率为</w:t>
      </w:r>
      <w:r>
        <w:rPr>
          <w:rFonts w:hint="eastAsia" w:ascii="仿宋_GB2312" w:hAnsi="仿宋_GB2312" w:cs="仿宋_GB2312"/>
          <w:b w:val="0"/>
          <w:kern w:val="2"/>
          <w:sz w:val="32"/>
          <w:szCs w:val="32"/>
          <w:lang w:val="en-US" w:eastAsia="zh-CN" w:bidi="ar-SA"/>
        </w:rPr>
        <w:t>84.1</w:t>
      </w:r>
      <w:r>
        <w:rPr>
          <w:rFonts w:hint="eastAsia" w:ascii="仿宋_GB2312" w:hAnsi="仿宋_GB2312" w:eastAsia="仿宋_GB2312" w:cs="仿宋_GB2312"/>
          <w:b w:val="0"/>
          <w:kern w:val="2"/>
          <w:sz w:val="32"/>
          <w:szCs w:val="32"/>
          <w:lang w:val="zh-CN" w:eastAsia="zh-CN" w:bidi="ar-SA"/>
        </w:rPr>
        <w:t>%。根据《部门整体支出绩效自评打分表》的评分说明本项指标权重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1.26</w:t>
      </w:r>
      <w:r>
        <w:rPr>
          <w:rFonts w:hint="eastAsia" w:ascii="仿宋_GB2312" w:hAnsi="仿宋_GB2312" w:eastAsia="仿宋_GB2312" w:cs="仿宋_GB2312"/>
          <w:b w:val="0"/>
          <w:kern w:val="2"/>
          <w:sz w:val="32"/>
          <w:szCs w:val="32"/>
          <w:lang w:val="zh-CN" w:eastAsia="zh-CN" w:bidi="ar-SA"/>
        </w:rPr>
        <w:t>分。</w:t>
      </w:r>
    </w:p>
    <w:p>
      <w:pPr>
        <w:keepNext w:val="0"/>
        <w:keepLines w:val="0"/>
        <w:pageBreakBefore w:val="0"/>
        <w:widowControl w:val="0"/>
        <w:kinsoku/>
        <w:wordWrap/>
        <w:overflowPunct/>
        <w:topLinePunct w:val="0"/>
        <w:autoSpaceDE/>
        <w:autoSpaceDN/>
        <w:bidi w:val="0"/>
        <w:adjustRightInd/>
        <w:snapToGrid/>
        <w:spacing w:line="300" w:lineRule="exact"/>
        <w:jc w:val="right"/>
        <w:textAlignment w:val="auto"/>
        <w:rPr>
          <w:rFonts w:hint="eastAsia" w:ascii="Times New Roman" w:hAnsi="Times New Roman" w:cs="Times New Roman"/>
          <w:sz w:val="21"/>
          <w:szCs w:val="21"/>
          <w:vertAlign w:val="baseline"/>
          <w:lang w:val="zh-CN" w:eastAsia="zh-CN"/>
        </w:rPr>
      </w:pPr>
      <w:r>
        <w:rPr>
          <w:rFonts w:hint="eastAsia" w:ascii="Times New Roman" w:hAnsi="Times New Roman" w:cs="Times New Roman"/>
          <w:sz w:val="21"/>
          <w:szCs w:val="21"/>
          <w:vertAlign w:val="baseline"/>
          <w:lang w:val="zh-CN" w:eastAsia="zh-CN"/>
        </w:rPr>
        <w:t>单位：元</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
        <w:gridCol w:w="1664"/>
        <w:gridCol w:w="1500"/>
        <w:gridCol w:w="1023"/>
        <w:gridCol w:w="1636"/>
        <w:gridCol w:w="1241"/>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91"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1"/>
                <w:szCs w:val="21"/>
                <w:vertAlign w:val="baseline"/>
                <w:lang w:val="zh-CN" w:eastAsia="zh-CN"/>
              </w:rPr>
            </w:pPr>
            <w:r>
              <w:rPr>
                <w:rFonts w:hint="eastAsia" w:ascii="Times New Roman" w:hAnsi="Times New Roman" w:cs="Times New Roman"/>
                <w:sz w:val="21"/>
                <w:szCs w:val="21"/>
                <w:vertAlign w:val="baseline"/>
                <w:lang w:val="zh-CN" w:eastAsia="zh-CN"/>
              </w:rPr>
              <w:t>单位</w:t>
            </w:r>
          </w:p>
        </w:tc>
        <w:tc>
          <w:tcPr>
            <w:tcW w:w="4187"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1"/>
                <w:szCs w:val="21"/>
                <w:vertAlign w:val="baseline"/>
                <w:lang w:val="zh-CN" w:eastAsia="zh-CN"/>
              </w:rPr>
            </w:pPr>
            <w:r>
              <w:rPr>
                <w:rFonts w:hint="eastAsia" w:ascii="Times New Roman" w:hAnsi="Times New Roman" w:cs="Times New Roman"/>
                <w:sz w:val="21"/>
                <w:szCs w:val="21"/>
                <w:vertAlign w:val="baseline"/>
                <w:lang w:val="zh-CN" w:eastAsia="zh-CN"/>
              </w:rPr>
              <w:t>办公家具</w:t>
            </w:r>
          </w:p>
        </w:tc>
        <w:tc>
          <w:tcPr>
            <w:tcW w:w="388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1"/>
                <w:szCs w:val="21"/>
                <w:vertAlign w:val="baseline"/>
                <w:lang w:val="zh-CN" w:eastAsia="zh-CN"/>
              </w:rPr>
            </w:pPr>
            <w:r>
              <w:rPr>
                <w:rFonts w:hint="eastAsia" w:ascii="Times New Roman" w:hAnsi="Times New Roman" w:cs="Times New Roman"/>
                <w:sz w:val="21"/>
                <w:szCs w:val="21"/>
                <w:vertAlign w:val="baseline"/>
                <w:lang w:val="zh-CN" w:eastAsia="zh-CN"/>
              </w:rPr>
              <w:t>办公设备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1"/>
                <w:szCs w:val="21"/>
                <w:vertAlign w:val="baseline"/>
                <w:lang w:val="en-US" w:eastAsia="zh-CN"/>
              </w:rPr>
            </w:pPr>
          </w:p>
        </w:tc>
        <w:tc>
          <w:tcPr>
            <w:tcW w:w="16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zh-CN" w:eastAsia="zh-CN"/>
              </w:rPr>
              <w:t>超最低使用年限的办公家具账面原值</w:t>
            </w:r>
          </w:p>
        </w:tc>
        <w:tc>
          <w:tcPr>
            <w:tcW w:w="150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zh-CN" w:eastAsia="zh-CN"/>
              </w:rPr>
              <w:t>办公家具账面原值</w:t>
            </w:r>
          </w:p>
        </w:tc>
        <w:tc>
          <w:tcPr>
            <w:tcW w:w="102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zh-CN" w:eastAsia="zh-CN"/>
              </w:rPr>
              <w:t>资产利用率</w:t>
            </w:r>
          </w:p>
        </w:tc>
        <w:tc>
          <w:tcPr>
            <w:tcW w:w="163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zh-CN" w:eastAsia="zh-CN"/>
              </w:rPr>
              <w:t>超最低使用年限的办公设备账面原值</w:t>
            </w:r>
          </w:p>
        </w:tc>
        <w:tc>
          <w:tcPr>
            <w:tcW w:w="1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zh-CN" w:eastAsia="zh-CN"/>
              </w:rPr>
              <w:t>办公设备账面原值</w:t>
            </w:r>
          </w:p>
        </w:tc>
        <w:tc>
          <w:tcPr>
            <w:tcW w:w="100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zh-CN" w:eastAsia="zh-CN"/>
              </w:rPr>
              <w:t>资产利用率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遂宁市土地储备中心</w:t>
            </w:r>
          </w:p>
        </w:tc>
        <w:tc>
          <w:tcPr>
            <w:tcW w:w="16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0</w:t>
            </w:r>
          </w:p>
        </w:tc>
        <w:tc>
          <w:tcPr>
            <w:tcW w:w="150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kern w:val="2"/>
                <w:sz w:val="24"/>
                <w:szCs w:val="24"/>
                <w:lang w:val="zh-CN" w:eastAsia="zh-CN" w:bidi="ar-SA"/>
              </w:rPr>
            </w:pPr>
            <w:r>
              <w:rPr>
                <w:rFonts w:hint="eastAsia" w:ascii="仿宋_GB2312" w:hAnsi="仿宋_GB2312" w:eastAsia="仿宋_GB2312" w:cs="仿宋_GB2312"/>
                <w:b w:val="0"/>
                <w:kern w:val="2"/>
                <w:sz w:val="24"/>
                <w:szCs w:val="24"/>
                <w:lang w:val="en-US" w:eastAsia="zh-CN" w:bidi="ar-SA"/>
              </w:rPr>
              <w:t>100790</w:t>
            </w:r>
          </w:p>
        </w:tc>
        <w:tc>
          <w:tcPr>
            <w:tcW w:w="102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0</w:t>
            </w:r>
          </w:p>
        </w:tc>
        <w:tc>
          <w:tcPr>
            <w:tcW w:w="163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225602</w:t>
            </w:r>
          </w:p>
        </w:tc>
        <w:tc>
          <w:tcPr>
            <w:tcW w:w="1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268246</w:t>
            </w:r>
          </w:p>
        </w:tc>
        <w:tc>
          <w:tcPr>
            <w:tcW w:w="100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b w:val="0"/>
                <w:kern w:val="2"/>
                <w:sz w:val="24"/>
                <w:szCs w:val="24"/>
                <w:lang w:val="en-US" w:eastAsia="zh-CN" w:bidi="ar-SA"/>
              </w:rPr>
            </w:pPr>
            <w:r>
              <w:rPr>
                <w:rFonts w:hint="eastAsia" w:ascii="仿宋_GB2312" w:hAnsi="仿宋_GB2312" w:cs="仿宋_GB2312"/>
                <w:b w:val="0"/>
                <w:kern w:val="2"/>
                <w:sz w:val="24"/>
                <w:szCs w:val="24"/>
                <w:lang w:val="en-US" w:eastAsia="zh-CN" w:bidi="ar-SA"/>
              </w:rPr>
              <w:t>84.1%</w:t>
            </w:r>
          </w:p>
        </w:tc>
      </w:tr>
    </w:tbl>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zh-CN" w:eastAsia="zh-CN" w:bidi="ar-SA"/>
        </w:rPr>
        <w:t>）资产盘活率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根据</w:t>
      </w:r>
      <w:r>
        <w:rPr>
          <w:rFonts w:hint="eastAsia" w:ascii="仿宋_GB2312" w:hAnsi="仿宋_GB2312" w:cs="仿宋_GB2312"/>
          <w:b w:val="0"/>
          <w:kern w:val="2"/>
          <w:sz w:val="32"/>
          <w:szCs w:val="32"/>
          <w:lang w:val="en-US" w:eastAsia="zh-CN" w:bidi="ar-SA"/>
        </w:rPr>
        <w:t>单位</w:t>
      </w:r>
      <w:r>
        <w:rPr>
          <w:rFonts w:hint="eastAsia" w:ascii="仿宋_GB2312" w:hAnsi="仿宋_GB2312" w:eastAsia="仿宋_GB2312" w:cs="仿宋_GB2312"/>
          <w:b w:val="0"/>
          <w:kern w:val="2"/>
          <w:sz w:val="32"/>
          <w:szCs w:val="32"/>
          <w:lang w:val="zh-CN" w:eastAsia="zh-CN" w:bidi="ar-SA"/>
        </w:rPr>
        <w:t>截至202</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年12月31日固定资产卡片明细数据，并结合现场勘察情况。2024年部门无闲置资产，根据《部门整体支出绩效自评打分表》的评分说明本项指标权重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zh-CN"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firstLine="663" w:firstLineChars="200"/>
        <w:contextualSpacing/>
        <w:jc w:val="both"/>
        <w:textAlignment w:val="auto"/>
        <w:outlineLvl w:val="9"/>
        <w:rPr>
          <w:rFonts w:hint="default" w:ascii="仿宋_GB2312" w:hAnsi="仿宋_GB2312" w:eastAsia="仿宋_GB2312" w:cs="仿宋_GB2312"/>
          <w:b w:val="0"/>
          <w:kern w:val="2"/>
          <w:sz w:val="32"/>
          <w:szCs w:val="32"/>
          <w:lang w:val="en-US" w:eastAsia="zh-CN" w:bidi="ar-SA"/>
        </w:rPr>
      </w:pPr>
      <w:r>
        <w:rPr>
          <w:rFonts w:hint="eastAsia" w:ascii="Times New Roman" w:hAnsi="Times New Roman" w:eastAsia="楷体_GB2312" w:cs="楷体_GB2312"/>
          <w:b/>
          <w:bCs/>
          <w:color w:val="000000"/>
          <w:kern w:val="0"/>
          <w:sz w:val="33"/>
          <w:szCs w:val="33"/>
          <w:highlight w:val="none"/>
          <w:shd w:val="clear" w:color="auto" w:fill="FFFFFF"/>
          <w:lang w:val="en-US" w:eastAsia="zh-CN"/>
        </w:rPr>
        <w:t>4.</w:t>
      </w:r>
      <w:r>
        <w:rPr>
          <w:rFonts w:hint="default" w:ascii="Times New Roman" w:hAnsi="Times New Roman" w:eastAsia="楷体_GB2312" w:cs="楷体_GB2312"/>
          <w:b/>
          <w:bCs/>
          <w:color w:val="000000"/>
          <w:kern w:val="0"/>
          <w:sz w:val="33"/>
          <w:szCs w:val="33"/>
          <w:highlight w:val="none"/>
          <w:shd w:val="clear" w:color="auto" w:fill="FFFFFF"/>
          <w:lang w:val="zh-CN" w:eastAsia="zh-CN"/>
        </w:rPr>
        <w:t>采购管理</w:t>
      </w:r>
      <w:r>
        <w:rPr>
          <w:rFonts w:hint="eastAsia" w:ascii="Times New Roman" w:hAnsi="Times New Roman" w:eastAsia="楷体_GB2312" w:cs="楷体_GB2312"/>
          <w:b/>
          <w:bCs/>
          <w:color w:val="000000"/>
          <w:kern w:val="0"/>
          <w:sz w:val="33"/>
          <w:szCs w:val="33"/>
          <w:highlight w:val="none"/>
          <w:shd w:val="clear" w:color="auto" w:fill="FFFFFF"/>
          <w:lang w:val="zh-CN" w:eastAsia="zh-CN"/>
        </w:rPr>
        <w:t>。</w:t>
      </w:r>
      <w:r>
        <w:rPr>
          <w:rFonts w:hint="eastAsia" w:ascii="仿宋_GB2312" w:hAnsi="仿宋_GB2312" w:eastAsia="仿宋_GB2312" w:cs="仿宋_GB2312"/>
          <w:b w:val="0"/>
          <w:kern w:val="2"/>
          <w:sz w:val="32"/>
          <w:szCs w:val="32"/>
          <w:lang w:val="zh-CN" w:eastAsia="zh-CN" w:bidi="ar-SA"/>
        </w:rPr>
        <w:t>市</w:t>
      </w:r>
      <w:r>
        <w:rPr>
          <w:rFonts w:hint="eastAsia" w:ascii="仿宋_GB2312" w:hAnsi="仿宋_GB2312" w:cs="仿宋_GB2312"/>
          <w:b w:val="0"/>
          <w:kern w:val="2"/>
          <w:sz w:val="32"/>
          <w:szCs w:val="32"/>
          <w:lang w:val="en-US" w:eastAsia="zh-CN" w:bidi="ar-SA"/>
        </w:rPr>
        <w:t>土地储备</w:t>
      </w:r>
      <w:r>
        <w:rPr>
          <w:rFonts w:hint="eastAsia" w:ascii="仿宋_GB2312" w:hAnsi="仿宋_GB2312" w:eastAsia="仿宋_GB2312" w:cs="仿宋_GB2312"/>
          <w:b w:val="0"/>
          <w:kern w:val="2"/>
          <w:sz w:val="32"/>
          <w:szCs w:val="32"/>
          <w:lang w:val="zh-CN" w:eastAsia="zh-CN" w:bidi="ar-SA"/>
        </w:rPr>
        <w:t>中心202</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年</w:t>
      </w:r>
      <w:r>
        <w:rPr>
          <w:rFonts w:hint="eastAsia" w:ascii="仿宋_GB2312" w:hAnsi="仿宋_GB2312" w:cs="仿宋_GB2312"/>
          <w:b w:val="0"/>
          <w:kern w:val="2"/>
          <w:sz w:val="32"/>
          <w:szCs w:val="32"/>
          <w:lang w:val="en-US" w:eastAsia="zh-CN" w:bidi="ar-SA"/>
        </w:rPr>
        <w:t>无政府采购项目。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firstLine="663" w:firstLineChars="200"/>
        <w:contextualSpacing/>
        <w:jc w:val="both"/>
        <w:textAlignment w:val="auto"/>
        <w:outlineLvl w:val="9"/>
        <w:rPr>
          <w:rFonts w:hint="eastAsia" w:ascii="Times New Roman" w:hAnsi="Times New Roman" w:eastAsia="楷体_GB2312" w:cs="楷体_GB2312"/>
          <w:b/>
          <w:bCs/>
          <w:color w:val="000000"/>
          <w:kern w:val="0"/>
          <w:sz w:val="33"/>
          <w:szCs w:val="33"/>
          <w:highlight w:val="none"/>
          <w:shd w:val="clear" w:color="auto" w:fill="FFFFFF"/>
          <w:lang w:val="zh-CN" w:eastAsia="zh-CN"/>
        </w:rPr>
      </w:pPr>
      <w:r>
        <w:rPr>
          <w:rFonts w:hint="eastAsia" w:ascii="Times New Roman" w:hAnsi="Times New Roman" w:eastAsia="楷体_GB2312" w:cs="楷体_GB2312"/>
          <w:b/>
          <w:bCs/>
          <w:color w:val="000000"/>
          <w:kern w:val="0"/>
          <w:sz w:val="33"/>
          <w:szCs w:val="33"/>
          <w:highlight w:val="none"/>
          <w:shd w:val="clear" w:color="auto" w:fill="FFFFFF"/>
          <w:lang w:val="en-US" w:eastAsia="zh-CN"/>
        </w:rPr>
        <w:t>5.</w:t>
      </w:r>
      <w:r>
        <w:rPr>
          <w:rFonts w:hint="default" w:ascii="Times New Roman" w:hAnsi="Times New Roman" w:eastAsia="楷体_GB2312" w:cs="楷体_GB2312"/>
          <w:b/>
          <w:bCs/>
          <w:color w:val="000000"/>
          <w:kern w:val="0"/>
          <w:sz w:val="33"/>
          <w:szCs w:val="33"/>
          <w:highlight w:val="none"/>
          <w:shd w:val="clear" w:color="auto" w:fill="FFFFFF"/>
          <w:lang w:val="zh-CN" w:eastAsia="zh-CN"/>
        </w:rPr>
        <w:t>财务管理</w:t>
      </w:r>
      <w:r>
        <w:rPr>
          <w:rFonts w:hint="eastAsia" w:ascii="Times New Roman" w:hAnsi="Times New Roman" w:eastAsia="楷体_GB2312" w:cs="楷体_GB2312"/>
          <w:b/>
          <w:bCs/>
          <w:color w:val="000000"/>
          <w:kern w:val="0"/>
          <w:sz w:val="33"/>
          <w:szCs w:val="33"/>
          <w:highlight w:val="none"/>
          <w:shd w:val="clear" w:color="auto" w:fill="FFFFFF"/>
          <w:lang w:val="zh-CN"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（1）财务管理制度建设情况：本</w:t>
      </w:r>
      <w:r>
        <w:rPr>
          <w:rFonts w:hint="eastAsia" w:ascii="仿宋_GB2312" w:hAnsi="仿宋_GB2312" w:eastAsia="仿宋_GB2312" w:cs="仿宋_GB2312"/>
          <w:b w:val="0"/>
          <w:kern w:val="2"/>
          <w:sz w:val="32"/>
          <w:szCs w:val="32"/>
          <w:lang w:val="en-US" w:eastAsia="zh-CN" w:bidi="ar-SA"/>
        </w:rPr>
        <w:t>单位</w:t>
      </w:r>
      <w:r>
        <w:rPr>
          <w:rFonts w:hint="eastAsia" w:ascii="仿宋_GB2312" w:hAnsi="仿宋_GB2312" w:eastAsia="仿宋_GB2312" w:cs="仿宋_GB2312"/>
          <w:b w:val="0"/>
          <w:kern w:val="2"/>
          <w:sz w:val="32"/>
          <w:szCs w:val="32"/>
          <w:lang w:val="zh-CN" w:eastAsia="zh-CN" w:bidi="ar-SA"/>
        </w:rPr>
        <w:t>制定了《内控手册》管理制度，财务机构按照内控手册严格执行有关制度。不涉及扣分。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cs="Times New Roman"/>
          <w:color w:val="000000"/>
          <w:kern w:val="0"/>
          <w:sz w:val="33"/>
          <w:szCs w:val="33"/>
          <w:highlight w:val="none"/>
          <w:shd w:val="clear" w:color="auto" w:fill="FFFFFF"/>
          <w:lang w:val="zh-CN"/>
        </w:rPr>
      </w:pPr>
      <w:r>
        <w:rPr>
          <w:rFonts w:hint="eastAsia" w:ascii="仿宋_GB2312" w:hAnsi="仿宋_GB2312" w:eastAsia="仿宋_GB2312" w:cs="仿宋_GB2312"/>
          <w:b w:val="0"/>
          <w:kern w:val="2"/>
          <w:sz w:val="32"/>
          <w:szCs w:val="32"/>
          <w:lang w:val="zh-CN" w:eastAsia="zh-CN" w:bidi="ar-SA"/>
        </w:rPr>
        <w:t>（2）财务岗位设置情况：本部门设置出纳、会计、财务负责人等财务工作岗位。出纳岗位的职责权限为资金支付等；会计岗位的职责权限为记账、财务报告等；财务负责人岗位的职责权限为审核资金支付、审核财务报告等。本部门严格实行不相容岗位分离。不涉及扣分</w:t>
      </w:r>
      <w:r>
        <w:rPr>
          <w:rFonts w:hint="eastAsia" w:ascii="Times New Roman" w:hAnsi="Times New Roman" w:cs="Times New Roman"/>
          <w:color w:val="000000"/>
          <w:kern w:val="0"/>
          <w:sz w:val="33"/>
          <w:szCs w:val="33"/>
          <w:highlight w:val="none"/>
          <w:shd w:val="clear" w:color="auto" w:fill="FFFFFF"/>
          <w:lang w:val="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zh-CN" w:eastAsia="zh-CN" w:bidi="ar-SA"/>
        </w:rPr>
        <w:t>）资金使用规范情况。财务部门在本部门绩效自评价期间抽查了</w:t>
      </w:r>
      <w:r>
        <w:rPr>
          <w:rFonts w:hint="default" w:ascii="仿宋_GB2312" w:hAnsi="仿宋_GB2312" w:eastAsia="仿宋_GB2312" w:cs="仿宋_GB2312"/>
          <w:b w:val="0"/>
          <w:kern w:val="2"/>
          <w:sz w:val="32"/>
          <w:szCs w:val="32"/>
          <w:lang w:val="en-US" w:eastAsia="zh-CN" w:bidi="ar-SA"/>
        </w:rPr>
        <w:t>国有土地使用权出让支出(补助支出）</w:t>
      </w:r>
      <w:r>
        <w:rPr>
          <w:rFonts w:hint="eastAsia" w:ascii="仿宋_GB2312" w:hAnsi="仿宋_GB2312" w:eastAsia="仿宋_GB2312" w:cs="仿宋_GB2312"/>
          <w:b w:val="0"/>
          <w:kern w:val="2"/>
          <w:sz w:val="32"/>
          <w:szCs w:val="32"/>
          <w:lang w:val="zh-CN" w:eastAsia="zh-CN" w:bidi="ar-SA"/>
        </w:rPr>
        <w:t>、</w:t>
      </w:r>
      <w:r>
        <w:rPr>
          <w:rFonts w:hint="default" w:ascii="仿宋_GB2312" w:hAnsi="仿宋_GB2312" w:eastAsia="仿宋_GB2312" w:cs="仿宋_GB2312"/>
          <w:b w:val="0"/>
          <w:kern w:val="2"/>
          <w:sz w:val="32"/>
          <w:szCs w:val="32"/>
          <w:lang w:val="en-US" w:eastAsia="zh-CN" w:bidi="ar-SA"/>
        </w:rPr>
        <w:t>储备土地计划编制、管护等费用</w:t>
      </w:r>
      <w:r>
        <w:rPr>
          <w:rFonts w:hint="eastAsia" w:ascii="仿宋_GB2312" w:hAnsi="仿宋_GB2312" w:eastAsia="仿宋_GB2312" w:cs="仿宋_GB2312"/>
          <w:b w:val="0"/>
          <w:kern w:val="2"/>
          <w:sz w:val="32"/>
          <w:szCs w:val="32"/>
          <w:lang w:val="zh-CN" w:eastAsia="zh-CN" w:bidi="ar-SA"/>
        </w:rPr>
        <w:t>、</w:t>
      </w:r>
      <w:r>
        <w:rPr>
          <w:rFonts w:hint="default" w:ascii="仿宋_GB2312" w:hAnsi="仿宋_GB2312" w:eastAsia="仿宋_GB2312" w:cs="仿宋_GB2312"/>
          <w:b w:val="0"/>
          <w:kern w:val="2"/>
          <w:sz w:val="32"/>
          <w:szCs w:val="32"/>
          <w:lang w:val="en-US" w:eastAsia="zh-CN" w:bidi="ar-SA"/>
        </w:rPr>
        <w:t>政府债券发行费用</w:t>
      </w:r>
      <w:r>
        <w:rPr>
          <w:rFonts w:hint="eastAsia" w:ascii="仿宋_GB2312" w:hAnsi="仿宋_GB2312" w:eastAsia="仿宋_GB2312" w:cs="仿宋_GB2312"/>
          <w:b w:val="0"/>
          <w:kern w:val="2"/>
          <w:sz w:val="32"/>
          <w:szCs w:val="32"/>
          <w:lang w:val="zh-CN" w:eastAsia="zh-CN" w:bidi="ar-SA"/>
        </w:rPr>
        <w:t>、</w:t>
      </w:r>
      <w:r>
        <w:rPr>
          <w:rFonts w:hint="default" w:ascii="仿宋_GB2312" w:hAnsi="仿宋_GB2312" w:eastAsia="仿宋_GB2312" w:cs="仿宋_GB2312"/>
          <w:b w:val="0"/>
          <w:kern w:val="2"/>
          <w:sz w:val="32"/>
          <w:szCs w:val="32"/>
          <w:lang w:val="en-US" w:eastAsia="zh-CN" w:bidi="ar-SA"/>
        </w:rPr>
        <w:t>土地储备专项债券资金利息及还息手续费</w:t>
      </w:r>
      <w:r>
        <w:rPr>
          <w:rFonts w:hint="eastAsia" w:ascii="仿宋_GB2312" w:hAnsi="仿宋_GB2312" w:eastAsia="仿宋_GB2312" w:cs="仿宋_GB2312"/>
          <w:b w:val="0"/>
          <w:kern w:val="2"/>
          <w:sz w:val="32"/>
          <w:szCs w:val="32"/>
          <w:lang w:val="zh-CN" w:eastAsia="zh-CN" w:bidi="ar-SA"/>
        </w:rPr>
        <w:t>等项目支付有关资料。部门资金使用符合相关财务管理制度规定。不涉及扣分。</w:t>
      </w:r>
    </w:p>
    <w:p>
      <w:pPr>
        <w:keepNext w:val="0"/>
        <w:keepLines w:val="0"/>
        <w:pageBreakBefore w:val="0"/>
        <w:widowControl/>
        <w:kinsoku/>
        <w:wordWrap/>
        <w:overflowPunct/>
        <w:topLinePunct w:val="0"/>
        <w:autoSpaceDE/>
        <w:autoSpaceDN/>
        <w:bidi w:val="0"/>
        <w:adjustRightInd/>
        <w:snapToGrid/>
        <w:spacing w:line="590" w:lineRule="exact"/>
        <w:ind w:right="0" w:rightChars="0" w:firstLine="643" w:firstLineChars="200"/>
        <w:contextualSpacing/>
        <w:jc w:val="both"/>
        <w:textAlignment w:val="auto"/>
        <w:outlineLvl w:val="9"/>
        <w:rPr>
          <w:rFonts w:hint="default" w:ascii="仿宋_GB2312" w:hAnsi="仿宋_GB2312" w:eastAsia="仿宋_GB2312" w:cs="仿宋_GB2312"/>
          <w:b/>
          <w:bCs/>
          <w:sz w:val="32"/>
          <w:szCs w:val="32"/>
          <w:lang w:val="en-US" w:eastAsia="zh-CN"/>
        </w:rPr>
      </w:pPr>
      <w:r>
        <w:rPr>
          <w:rFonts w:hint="default" w:ascii="仿宋_GB2312" w:hAnsi="仿宋_GB2312" w:eastAsia="仿宋_GB2312" w:cs="仿宋_GB2312"/>
          <w:b/>
          <w:bCs/>
          <w:sz w:val="32"/>
          <w:szCs w:val="32"/>
          <w:lang w:val="zh-CN" w:eastAsia="zh-CN"/>
        </w:rPr>
        <w:t>（二）部门预算项目绩效分析。</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default" w:ascii="仿宋_GB2312" w:hAnsi="仿宋_GB2312" w:eastAsia="仿宋_GB2312" w:cs="仿宋_GB2312"/>
          <w:b w:val="0"/>
          <w:kern w:val="2"/>
          <w:sz w:val="32"/>
          <w:szCs w:val="32"/>
          <w:lang w:val="zh-CN" w:eastAsia="zh-CN" w:bidi="ar-SA"/>
        </w:rPr>
      </w:pPr>
      <w:r>
        <w:rPr>
          <w:rFonts w:hint="default" w:ascii="仿宋_GB2312" w:hAnsi="仿宋_GB2312" w:eastAsia="仿宋_GB2312" w:cs="仿宋_GB2312"/>
          <w:b w:val="0"/>
          <w:kern w:val="2"/>
          <w:sz w:val="32"/>
          <w:szCs w:val="32"/>
          <w:lang w:val="en-US" w:eastAsia="zh-CN" w:bidi="ar-SA"/>
        </w:rPr>
        <w:t>常年项目绩效分析。</w:t>
      </w:r>
      <w:r>
        <w:rPr>
          <w:rFonts w:hint="default" w:ascii="仿宋_GB2312" w:hAnsi="仿宋_GB2312" w:eastAsia="仿宋_GB2312" w:cs="仿宋_GB2312"/>
          <w:b w:val="0"/>
          <w:kern w:val="2"/>
          <w:sz w:val="32"/>
          <w:szCs w:val="32"/>
          <w:lang w:val="zh-CN" w:eastAsia="zh-CN" w:bidi="ar-SA"/>
        </w:rPr>
        <w:t>该类项目总数</w:t>
      </w:r>
      <w:r>
        <w:rPr>
          <w:rFonts w:hint="eastAsia" w:ascii="仿宋_GB2312" w:hAnsi="仿宋_GB2312" w:eastAsia="仿宋_GB2312" w:cs="仿宋_GB2312"/>
          <w:b w:val="0"/>
          <w:kern w:val="2"/>
          <w:sz w:val="32"/>
          <w:szCs w:val="32"/>
          <w:lang w:val="en-US" w:eastAsia="zh-CN" w:bidi="ar-SA"/>
        </w:rPr>
        <w:t>1</w:t>
      </w:r>
      <w:r>
        <w:rPr>
          <w:rFonts w:hint="default" w:ascii="仿宋_GB2312" w:hAnsi="仿宋_GB2312" w:eastAsia="仿宋_GB2312" w:cs="仿宋_GB2312"/>
          <w:b w:val="0"/>
          <w:kern w:val="2"/>
          <w:sz w:val="32"/>
          <w:szCs w:val="32"/>
          <w:lang w:val="zh-CN" w:eastAsia="zh-CN" w:bidi="ar-SA"/>
        </w:rPr>
        <w:t>个，涉及预算总金额</w:t>
      </w:r>
      <w:r>
        <w:rPr>
          <w:rFonts w:hint="eastAsia" w:ascii="仿宋_GB2312" w:hAnsi="仿宋_GB2312" w:eastAsia="仿宋_GB2312" w:cs="仿宋_GB2312"/>
          <w:b w:val="0"/>
          <w:kern w:val="2"/>
          <w:sz w:val="32"/>
          <w:szCs w:val="32"/>
          <w:lang w:val="en-US" w:eastAsia="zh-CN" w:bidi="ar-SA"/>
        </w:rPr>
        <w:t>19.25</w:t>
      </w:r>
      <w:r>
        <w:rPr>
          <w:rFonts w:hint="default" w:ascii="仿宋_GB2312" w:hAnsi="仿宋_GB2312" w:eastAsia="仿宋_GB2312" w:cs="仿宋_GB2312"/>
          <w:b w:val="0"/>
          <w:kern w:val="2"/>
          <w:sz w:val="32"/>
          <w:szCs w:val="32"/>
          <w:lang w:val="zh-CN" w:eastAsia="zh-CN" w:bidi="ar-SA"/>
        </w:rPr>
        <w:t>万元，1</w:t>
      </w:r>
      <w:r>
        <w:rPr>
          <w:rFonts w:hint="eastAsia" w:ascii="仿宋_GB2312" w:hAnsi="仿宋_GB2312" w:eastAsia="仿宋_GB2312" w:cs="仿宋_GB2312"/>
          <w:b w:val="0"/>
          <w:kern w:val="2"/>
          <w:sz w:val="32"/>
          <w:szCs w:val="32"/>
          <w:lang w:val="en-US" w:eastAsia="zh-CN" w:bidi="ar-SA"/>
        </w:rPr>
        <w:t>-</w:t>
      </w:r>
      <w:r>
        <w:rPr>
          <w:rFonts w:hint="default" w:ascii="仿宋_GB2312" w:hAnsi="仿宋_GB2312" w:eastAsia="仿宋_GB2312" w:cs="仿宋_GB2312"/>
          <w:b w:val="0"/>
          <w:kern w:val="2"/>
          <w:sz w:val="32"/>
          <w:szCs w:val="32"/>
          <w:lang w:val="zh-CN" w:eastAsia="zh-CN" w:bidi="ar-SA"/>
        </w:rPr>
        <w:t>1</w:t>
      </w:r>
      <w:r>
        <w:rPr>
          <w:rFonts w:hint="default" w:ascii="仿宋_GB2312" w:hAnsi="仿宋_GB2312" w:eastAsia="仿宋_GB2312" w:cs="仿宋_GB2312"/>
          <w:b w:val="0"/>
          <w:kern w:val="2"/>
          <w:sz w:val="32"/>
          <w:szCs w:val="32"/>
          <w:lang w:val="en-US" w:eastAsia="zh-CN" w:bidi="ar-SA"/>
        </w:rPr>
        <w:t>2</w:t>
      </w:r>
      <w:r>
        <w:rPr>
          <w:rFonts w:hint="default" w:ascii="仿宋_GB2312" w:hAnsi="仿宋_GB2312" w:eastAsia="仿宋_GB2312" w:cs="仿宋_GB2312"/>
          <w:b w:val="0"/>
          <w:kern w:val="2"/>
          <w:sz w:val="32"/>
          <w:szCs w:val="32"/>
          <w:lang w:val="zh-CN" w:eastAsia="zh-CN" w:bidi="ar-SA"/>
        </w:rPr>
        <w:t>月预算执行总体进度为</w:t>
      </w:r>
      <w:r>
        <w:rPr>
          <w:rFonts w:hint="eastAsia" w:ascii="仿宋_GB2312" w:hAnsi="仿宋_GB2312" w:eastAsia="仿宋_GB2312" w:cs="仿宋_GB2312"/>
          <w:b w:val="0"/>
          <w:kern w:val="2"/>
          <w:sz w:val="32"/>
          <w:szCs w:val="32"/>
          <w:lang w:val="en-US" w:eastAsia="zh-CN" w:bidi="ar-SA"/>
        </w:rPr>
        <w:t>99.69</w:t>
      </w:r>
      <w:r>
        <w:rPr>
          <w:rFonts w:hint="default" w:ascii="仿宋_GB2312" w:hAnsi="仿宋_GB2312" w:eastAsia="仿宋_GB2312" w:cs="仿宋_GB2312"/>
          <w:b w:val="0"/>
          <w:kern w:val="2"/>
          <w:sz w:val="32"/>
          <w:szCs w:val="32"/>
          <w:lang w:val="zh-CN" w:eastAsia="zh-CN" w:bidi="ar-SA"/>
        </w:rPr>
        <w:t>%，其中：预算结余率大于</w:t>
      </w:r>
      <w:r>
        <w:rPr>
          <w:rFonts w:hint="default" w:ascii="仿宋_GB2312" w:hAnsi="仿宋_GB2312" w:eastAsia="仿宋_GB2312" w:cs="仿宋_GB2312"/>
          <w:b w:val="0"/>
          <w:kern w:val="2"/>
          <w:sz w:val="32"/>
          <w:szCs w:val="32"/>
          <w:lang w:val="en-US" w:eastAsia="zh-CN" w:bidi="ar-SA"/>
        </w:rPr>
        <w:t>10%</w:t>
      </w:r>
      <w:r>
        <w:rPr>
          <w:rFonts w:hint="default" w:ascii="仿宋_GB2312" w:hAnsi="仿宋_GB2312" w:eastAsia="仿宋_GB2312" w:cs="仿宋_GB2312"/>
          <w:b w:val="0"/>
          <w:kern w:val="2"/>
          <w:sz w:val="32"/>
          <w:szCs w:val="32"/>
          <w:lang w:val="zh-CN" w:eastAsia="zh-CN" w:bidi="ar-SA"/>
        </w:rPr>
        <w:t>的项目共计</w:t>
      </w:r>
      <w:r>
        <w:rPr>
          <w:rFonts w:hint="eastAsia" w:ascii="仿宋_GB2312" w:hAnsi="仿宋_GB2312" w:eastAsia="仿宋_GB2312" w:cs="仿宋_GB2312"/>
          <w:b w:val="0"/>
          <w:kern w:val="2"/>
          <w:sz w:val="32"/>
          <w:szCs w:val="32"/>
          <w:lang w:val="en-US" w:eastAsia="zh-CN" w:bidi="ar-SA"/>
        </w:rPr>
        <w:t>0</w:t>
      </w:r>
      <w:r>
        <w:rPr>
          <w:rFonts w:hint="default" w:ascii="仿宋_GB2312" w:hAnsi="仿宋_GB2312" w:eastAsia="仿宋_GB2312" w:cs="仿宋_GB2312"/>
          <w:b w:val="0"/>
          <w:kern w:val="2"/>
          <w:sz w:val="32"/>
          <w:szCs w:val="32"/>
          <w:lang w:val="zh-CN" w:eastAsia="zh-CN" w:bidi="ar-SA"/>
        </w:rPr>
        <w:t>个。</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default" w:ascii="仿宋_GB2312" w:hAnsi="仿宋_GB2312" w:eastAsia="仿宋_GB2312" w:cs="仿宋_GB2312"/>
          <w:b w:val="0"/>
          <w:kern w:val="2"/>
          <w:sz w:val="32"/>
          <w:szCs w:val="32"/>
          <w:lang w:val="zh-CN" w:eastAsia="zh-CN" w:bidi="ar-SA"/>
        </w:rPr>
      </w:pPr>
      <w:r>
        <w:rPr>
          <w:rFonts w:hint="default" w:ascii="仿宋_GB2312" w:hAnsi="仿宋_GB2312" w:eastAsia="仿宋_GB2312" w:cs="仿宋_GB2312"/>
          <w:b w:val="0"/>
          <w:kern w:val="2"/>
          <w:sz w:val="32"/>
          <w:szCs w:val="32"/>
          <w:lang w:val="en-US" w:eastAsia="zh-CN" w:bidi="ar-SA"/>
        </w:rPr>
        <w:t>阶段</w:t>
      </w:r>
      <w:r>
        <w:rPr>
          <w:rFonts w:hint="eastAsia" w:ascii="仿宋_GB2312" w:hAnsi="仿宋_GB2312" w:eastAsia="仿宋_GB2312" w:cs="仿宋_GB2312"/>
          <w:b w:val="0"/>
          <w:kern w:val="2"/>
          <w:sz w:val="32"/>
          <w:szCs w:val="32"/>
          <w:lang w:val="en-US" w:eastAsia="zh-CN" w:bidi="ar-SA"/>
        </w:rPr>
        <w:t>（</w:t>
      </w:r>
      <w:r>
        <w:rPr>
          <w:rFonts w:hint="default" w:ascii="仿宋_GB2312" w:hAnsi="仿宋_GB2312" w:eastAsia="仿宋_GB2312" w:cs="仿宋_GB2312"/>
          <w:b w:val="0"/>
          <w:kern w:val="2"/>
          <w:sz w:val="32"/>
          <w:szCs w:val="32"/>
          <w:lang w:val="en-US" w:eastAsia="zh-CN" w:bidi="ar-SA"/>
        </w:rPr>
        <w:t>一次性</w:t>
      </w:r>
      <w:r>
        <w:rPr>
          <w:rFonts w:hint="eastAsia" w:ascii="仿宋_GB2312" w:hAnsi="仿宋_GB2312" w:eastAsia="仿宋_GB2312" w:cs="仿宋_GB2312"/>
          <w:b w:val="0"/>
          <w:kern w:val="2"/>
          <w:sz w:val="32"/>
          <w:szCs w:val="32"/>
          <w:lang w:val="en-US" w:eastAsia="zh-CN" w:bidi="ar-SA"/>
        </w:rPr>
        <w:t>）</w:t>
      </w:r>
      <w:r>
        <w:rPr>
          <w:rFonts w:hint="default" w:ascii="仿宋_GB2312" w:hAnsi="仿宋_GB2312" w:eastAsia="仿宋_GB2312" w:cs="仿宋_GB2312"/>
          <w:b w:val="0"/>
          <w:kern w:val="2"/>
          <w:sz w:val="32"/>
          <w:szCs w:val="32"/>
          <w:lang w:val="en-US" w:eastAsia="zh-CN" w:bidi="ar-SA"/>
        </w:rPr>
        <w:t>项目绩效分析。</w:t>
      </w:r>
      <w:r>
        <w:rPr>
          <w:rFonts w:hint="default" w:ascii="仿宋_GB2312" w:hAnsi="仿宋_GB2312" w:eastAsia="仿宋_GB2312" w:cs="仿宋_GB2312"/>
          <w:b w:val="0"/>
          <w:kern w:val="2"/>
          <w:sz w:val="32"/>
          <w:szCs w:val="32"/>
          <w:lang w:val="zh-CN" w:eastAsia="zh-CN" w:bidi="ar-SA"/>
        </w:rPr>
        <w:t>该类项目总数</w:t>
      </w:r>
      <w:r>
        <w:rPr>
          <w:rFonts w:hint="eastAsia" w:ascii="仿宋_GB2312" w:hAnsi="仿宋_GB2312" w:eastAsia="仿宋_GB2312" w:cs="仿宋_GB2312"/>
          <w:b w:val="0"/>
          <w:kern w:val="2"/>
          <w:sz w:val="32"/>
          <w:szCs w:val="32"/>
          <w:lang w:val="en-US" w:eastAsia="zh-CN" w:bidi="ar-SA"/>
        </w:rPr>
        <w:t>3</w:t>
      </w:r>
      <w:r>
        <w:rPr>
          <w:rFonts w:hint="default" w:ascii="仿宋_GB2312" w:hAnsi="仿宋_GB2312" w:eastAsia="仿宋_GB2312" w:cs="仿宋_GB2312"/>
          <w:b w:val="0"/>
          <w:kern w:val="2"/>
          <w:sz w:val="32"/>
          <w:szCs w:val="32"/>
          <w:lang w:val="zh-CN" w:eastAsia="zh-CN" w:bidi="ar-SA"/>
        </w:rPr>
        <w:t>个，涉及预算总金额</w:t>
      </w:r>
      <w:r>
        <w:rPr>
          <w:rFonts w:hint="eastAsia" w:ascii="仿宋_GB2312" w:hAnsi="仿宋_GB2312" w:eastAsia="仿宋_GB2312" w:cs="仿宋_GB2312"/>
          <w:b w:val="0"/>
          <w:kern w:val="2"/>
          <w:sz w:val="32"/>
          <w:szCs w:val="32"/>
          <w:lang w:val="en-US" w:eastAsia="zh-CN" w:bidi="ar-SA"/>
        </w:rPr>
        <w:t>8180.83</w:t>
      </w:r>
      <w:r>
        <w:rPr>
          <w:rFonts w:hint="default" w:ascii="仿宋_GB2312" w:hAnsi="仿宋_GB2312" w:eastAsia="仿宋_GB2312" w:cs="仿宋_GB2312"/>
          <w:b w:val="0"/>
          <w:kern w:val="2"/>
          <w:sz w:val="32"/>
          <w:szCs w:val="32"/>
          <w:lang w:val="zh-CN" w:eastAsia="zh-CN" w:bidi="ar-SA"/>
        </w:rPr>
        <w:t>万元，1</w:t>
      </w:r>
      <w:r>
        <w:rPr>
          <w:rFonts w:hint="eastAsia" w:ascii="仿宋_GB2312" w:hAnsi="仿宋_GB2312" w:eastAsia="仿宋_GB2312" w:cs="仿宋_GB2312"/>
          <w:b w:val="0"/>
          <w:kern w:val="2"/>
          <w:sz w:val="32"/>
          <w:szCs w:val="32"/>
          <w:lang w:val="en-US" w:eastAsia="zh-CN" w:bidi="ar-SA"/>
        </w:rPr>
        <w:t>-</w:t>
      </w:r>
      <w:r>
        <w:rPr>
          <w:rFonts w:hint="default" w:ascii="仿宋_GB2312" w:hAnsi="仿宋_GB2312" w:eastAsia="仿宋_GB2312" w:cs="仿宋_GB2312"/>
          <w:b w:val="0"/>
          <w:kern w:val="2"/>
          <w:sz w:val="32"/>
          <w:szCs w:val="32"/>
          <w:lang w:val="zh-CN" w:eastAsia="zh-CN" w:bidi="ar-SA"/>
        </w:rPr>
        <w:t>1</w:t>
      </w:r>
      <w:r>
        <w:rPr>
          <w:rFonts w:hint="default" w:ascii="仿宋_GB2312" w:hAnsi="仿宋_GB2312" w:eastAsia="仿宋_GB2312" w:cs="仿宋_GB2312"/>
          <w:b w:val="0"/>
          <w:kern w:val="2"/>
          <w:sz w:val="32"/>
          <w:szCs w:val="32"/>
          <w:lang w:val="en-US" w:eastAsia="zh-CN" w:bidi="ar-SA"/>
        </w:rPr>
        <w:t>2</w:t>
      </w:r>
      <w:r>
        <w:rPr>
          <w:rFonts w:hint="default" w:ascii="仿宋_GB2312" w:hAnsi="仿宋_GB2312" w:eastAsia="仿宋_GB2312" w:cs="仿宋_GB2312"/>
          <w:b w:val="0"/>
          <w:kern w:val="2"/>
          <w:sz w:val="32"/>
          <w:szCs w:val="32"/>
          <w:lang w:val="zh-CN" w:eastAsia="zh-CN" w:bidi="ar-SA"/>
        </w:rPr>
        <w:t>月预算执行总体进度为</w:t>
      </w:r>
      <w:r>
        <w:rPr>
          <w:rFonts w:hint="eastAsia" w:ascii="仿宋_GB2312" w:hAnsi="仿宋_GB2312" w:eastAsia="仿宋_GB2312" w:cs="仿宋_GB2312"/>
          <w:b w:val="0"/>
          <w:kern w:val="2"/>
          <w:sz w:val="32"/>
          <w:szCs w:val="32"/>
          <w:lang w:val="en-US" w:eastAsia="zh-CN" w:bidi="ar-SA"/>
        </w:rPr>
        <w:t>100</w:t>
      </w:r>
      <w:r>
        <w:rPr>
          <w:rFonts w:hint="default" w:ascii="仿宋_GB2312" w:hAnsi="仿宋_GB2312" w:eastAsia="仿宋_GB2312" w:cs="仿宋_GB2312"/>
          <w:b w:val="0"/>
          <w:kern w:val="2"/>
          <w:sz w:val="32"/>
          <w:szCs w:val="32"/>
          <w:lang w:val="zh-CN" w:eastAsia="zh-CN" w:bidi="ar-SA"/>
        </w:rPr>
        <w:t>%，其中：预算结余率大于</w:t>
      </w:r>
      <w:r>
        <w:rPr>
          <w:rFonts w:hint="default" w:ascii="仿宋_GB2312" w:hAnsi="仿宋_GB2312" w:eastAsia="仿宋_GB2312" w:cs="仿宋_GB2312"/>
          <w:b w:val="0"/>
          <w:kern w:val="2"/>
          <w:sz w:val="32"/>
          <w:szCs w:val="32"/>
          <w:lang w:val="en-US" w:eastAsia="zh-CN" w:bidi="ar-SA"/>
        </w:rPr>
        <w:t>10%</w:t>
      </w:r>
      <w:r>
        <w:rPr>
          <w:rFonts w:hint="default" w:ascii="仿宋_GB2312" w:hAnsi="仿宋_GB2312" w:eastAsia="仿宋_GB2312" w:cs="仿宋_GB2312"/>
          <w:b w:val="0"/>
          <w:kern w:val="2"/>
          <w:sz w:val="32"/>
          <w:szCs w:val="32"/>
          <w:lang w:val="zh-CN" w:eastAsia="zh-CN" w:bidi="ar-SA"/>
        </w:rPr>
        <w:t>的项目共计</w:t>
      </w:r>
      <w:r>
        <w:rPr>
          <w:rFonts w:hint="eastAsia" w:ascii="仿宋_GB2312" w:hAnsi="仿宋_GB2312" w:eastAsia="仿宋_GB2312" w:cs="仿宋_GB2312"/>
          <w:b w:val="0"/>
          <w:kern w:val="2"/>
          <w:sz w:val="32"/>
          <w:szCs w:val="32"/>
          <w:lang w:val="en-US" w:eastAsia="zh-CN" w:bidi="ar-SA"/>
        </w:rPr>
        <w:t>0</w:t>
      </w:r>
      <w:r>
        <w:rPr>
          <w:rFonts w:hint="default" w:ascii="仿宋_GB2312" w:hAnsi="仿宋_GB2312" w:eastAsia="仿宋_GB2312" w:cs="仿宋_GB2312"/>
          <w:b w:val="0"/>
          <w:kern w:val="2"/>
          <w:sz w:val="32"/>
          <w:szCs w:val="32"/>
          <w:lang w:val="zh-CN" w:eastAsia="zh-CN" w:bidi="ar-SA"/>
        </w:rPr>
        <w:t>个。</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firstLine="663" w:firstLineChars="200"/>
        <w:contextualSpacing/>
        <w:jc w:val="both"/>
        <w:textAlignment w:val="auto"/>
        <w:outlineLvl w:val="9"/>
        <w:rPr>
          <w:rFonts w:hint="eastAsia" w:ascii="Times New Roman" w:hAnsi="Times New Roman" w:eastAsia="楷体_GB2312" w:cs="楷体_GB2312"/>
          <w:b/>
          <w:bCs/>
          <w:color w:val="000000"/>
          <w:kern w:val="0"/>
          <w:sz w:val="33"/>
          <w:szCs w:val="33"/>
          <w:highlight w:val="none"/>
          <w:shd w:val="clear" w:color="auto" w:fill="FFFFFF"/>
          <w:lang w:val="zh-CN" w:eastAsia="zh-CN"/>
        </w:rPr>
      </w:pPr>
      <w:r>
        <w:rPr>
          <w:rFonts w:hint="eastAsia" w:ascii="Times New Roman" w:hAnsi="Times New Roman" w:eastAsia="楷体_GB2312" w:cs="楷体_GB2312"/>
          <w:b/>
          <w:bCs/>
          <w:color w:val="000000"/>
          <w:kern w:val="0"/>
          <w:sz w:val="33"/>
          <w:szCs w:val="33"/>
          <w:highlight w:val="none"/>
          <w:shd w:val="clear" w:color="auto" w:fill="FFFFFF"/>
          <w:lang w:val="en-US" w:eastAsia="zh-CN"/>
        </w:rPr>
        <w:t>1.</w:t>
      </w:r>
      <w:r>
        <w:rPr>
          <w:rFonts w:hint="eastAsia" w:ascii="Times New Roman" w:hAnsi="Times New Roman" w:eastAsia="楷体_GB2312" w:cs="楷体_GB2312"/>
          <w:b/>
          <w:bCs/>
          <w:color w:val="000000"/>
          <w:kern w:val="0"/>
          <w:sz w:val="33"/>
          <w:szCs w:val="33"/>
          <w:highlight w:val="none"/>
          <w:shd w:val="clear" w:color="auto" w:fill="FFFFFF"/>
          <w:lang w:val="zh-CN" w:eastAsia="zh-CN"/>
        </w:rPr>
        <w:t>项目决策。</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（1）决策程序</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根据遂财绩</w:t>
      </w:r>
      <w:r>
        <w:rPr>
          <w:rFonts w:hint="eastAsia" w:ascii="宋体" w:hAnsi="宋体" w:eastAsia="宋体" w:cs="宋体"/>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2023</w:t>
      </w:r>
      <w:r>
        <w:rPr>
          <w:rFonts w:hint="eastAsia" w:ascii="宋体" w:hAnsi="宋体" w:eastAsia="宋体" w:cs="宋体"/>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10号《关于加强</w:t>
      </w:r>
      <w:r>
        <w:rPr>
          <w:rFonts w:hint="eastAsia" w:ascii="仿宋_GB2312" w:hAnsi="仿宋_GB2312" w:eastAsia="仿宋_GB2312" w:cs="仿宋_GB2312"/>
          <w:b w:val="0"/>
          <w:kern w:val="2"/>
          <w:sz w:val="32"/>
          <w:szCs w:val="32"/>
          <w:lang w:val="en-US" w:eastAsia="zh-CN" w:bidi="ar-SA"/>
        </w:rPr>
        <w:t>2024年度市级预算编制阶段绩效目标管理和</w:t>
      </w:r>
      <w:r>
        <w:rPr>
          <w:rFonts w:hint="eastAsia" w:ascii="仿宋_GB2312" w:hAnsi="仿宋_GB2312" w:eastAsia="仿宋_GB2312" w:cs="仿宋_GB2312"/>
          <w:b w:val="0"/>
          <w:kern w:val="2"/>
          <w:sz w:val="32"/>
          <w:szCs w:val="32"/>
          <w:lang w:val="zh-CN" w:eastAsia="zh-CN" w:bidi="ar-SA"/>
        </w:rPr>
        <w:t>事前绩效评估工作的通知》，对“年度预算100万元以上的新增项目，年度预算增幅达到30%或增加金额100万元以上的延续性项目”开展事前绩效评估。2024年本部门应开展部门预算项目（含一次性项目）总数</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个、实际开展部门预算项目（含一次性项目）</w:t>
      </w:r>
      <w:r>
        <w:rPr>
          <w:rFonts w:hint="eastAsia" w:ascii="仿宋_GB2312" w:hAnsi="仿宋_GB2312" w:eastAsia="仿宋_GB2312" w:cs="仿宋_GB2312"/>
          <w:b w:val="0"/>
          <w:kern w:val="2"/>
          <w:sz w:val="32"/>
          <w:szCs w:val="32"/>
          <w:lang w:val="en-US" w:eastAsia="zh-CN" w:bidi="ar-SA"/>
        </w:rPr>
        <w:t>2</w:t>
      </w:r>
      <w:r>
        <w:rPr>
          <w:rFonts w:hint="eastAsia" w:ascii="仿宋_GB2312" w:hAnsi="仿宋_GB2312" w:eastAsia="仿宋_GB2312" w:cs="仿宋_GB2312"/>
          <w:b w:val="0"/>
          <w:kern w:val="2"/>
          <w:sz w:val="32"/>
          <w:szCs w:val="32"/>
          <w:lang w:val="zh-CN" w:eastAsia="zh-CN" w:bidi="ar-SA"/>
        </w:rPr>
        <w:t>个，开展比例</w:t>
      </w:r>
      <w:r>
        <w:rPr>
          <w:rFonts w:hint="eastAsia" w:ascii="仿宋_GB2312" w:hAnsi="仿宋_GB2312" w:cs="仿宋_GB2312"/>
          <w:b w:val="0"/>
          <w:kern w:val="2"/>
          <w:sz w:val="32"/>
          <w:szCs w:val="32"/>
          <w:lang w:val="en-US" w:eastAsia="zh-CN" w:bidi="ar-SA"/>
        </w:rPr>
        <w:t>50</w:t>
      </w:r>
      <w:r>
        <w:rPr>
          <w:rFonts w:hint="eastAsia" w:ascii="仿宋_GB2312" w:hAnsi="仿宋_GB2312" w:eastAsia="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en-US" w:eastAsia="zh-CN" w:bidi="ar-SA"/>
        </w:rPr>
        <w:t>根据《</w:t>
      </w:r>
      <w:r>
        <w:rPr>
          <w:rFonts w:hint="default" w:ascii="仿宋_GB2312" w:hAnsi="仿宋_GB2312" w:eastAsia="仿宋_GB2312" w:cs="仿宋_GB2312"/>
          <w:b w:val="0"/>
          <w:kern w:val="2"/>
          <w:sz w:val="32"/>
          <w:szCs w:val="32"/>
          <w:lang w:val="zh-CN" w:eastAsia="zh-CN" w:bidi="ar-SA"/>
        </w:rPr>
        <w:t>遂宁市</w:t>
      </w:r>
      <w:r>
        <w:rPr>
          <w:rFonts w:hint="eastAsia" w:ascii="仿宋_GB2312" w:hAnsi="仿宋_GB2312" w:eastAsia="仿宋_GB2312" w:cs="仿宋_GB2312"/>
          <w:b w:val="0"/>
          <w:kern w:val="2"/>
          <w:sz w:val="32"/>
          <w:szCs w:val="32"/>
          <w:lang w:val="zh-CN" w:eastAsia="zh-CN" w:bidi="ar-SA"/>
        </w:rPr>
        <w:t>土地储备中心</w:t>
      </w:r>
      <w:r>
        <w:rPr>
          <w:rFonts w:hint="default" w:ascii="仿宋_GB2312" w:hAnsi="仿宋_GB2312" w:eastAsia="仿宋_GB2312" w:cs="仿宋_GB2312"/>
          <w:b w:val="0"/>
          <w:kern w:val="2"/>
          <w:sz w:val="32"/>
          <w:szCs w:val="32"/>
          <w:lang w:val="zh-CN" w:eastAsia="zh-CN" w:bidi="ar-SA"/>
        </w:rPr>
        <w:t>内部控制</w:t>
      </w:r>
      <w:r>
        <w:rPr>
          <w:rFonts w:hint="eastAsia" w:ascii="仿宋_GB2312" w:hAnsi="仿宋_GB2312" w:eastAsia="仿宋_GB2312" w:cs="仿宋_GB2312"/>
          <w:b w:val="0"/>
          <w:kern w:val="2"/>
          <w:sz w:val="32"/>
          <w:szCs w:val="32"/>
          <w:lang w:val="en-US" w:eastAsia="zh-CN" w:bidi="ar-SA"/>
        </w:rPr>
        <w:t>手册》，涉及的资金拨付均上中心主任办公会研究。</w:t>
      </w:r>
      <w:r>
        <w:rPr>
          <w:rFonts w:hint="eastAsia" w:ascii="仿宋_GB2312" w:hAnsi="仿宋_GB2312" w:eastAsia="仿宋_GB2312" w:cs="仿宋_GB2312"/>
          <w:b w:val="0"/>
          <w:kern w:val="2"/>
          <w:sz w:val="32"/>
          <w:szCs w:val="32"/>
          <w:lang w:val="zh-CN" w:eastAsia="zh-CN" w:bidi="ar-SA"/>
        </w:rPr>
        <w:t>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2</w:t>
      </w:r>
      <w:r>
        <w:rPr>
          <w:rFonts w:hint="eastAsia" w:ascii="仿宋_GB2312" w:hAnsi="仿宋_GB2312" w:eastAsia="仿宋_GB2312" w:cs="仿宋_GB2312"/>
          <w:b w:val="0"/>
          <w:kern w:val="2"/>
          <w:sz w:val="32"/>
          <w:szCs w:val="32"/>
          <w:lang w:val="zh-CN"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（2）目标设置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根据遂财绩</w:t>
      </w:r>
      <w:r>
        <w:rPr>
          <w:rFonts w:hint="eastAsia" w:ascii="宋体" w:hAnsi="宋体" w:eastAsia="宋体" w:cs="宋体"/>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2023</w:t>
      </w:r>
      <w:r>
        <w:rPr>
          <w:rFonts w:hint="eastAsia" w:ascii="宋体" w:hAnsi="宋体" w:eastAsia="宋体" w:cs="宋体"/>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10号《关于加强2024年度市级预算编制阶段绩效目标管理和事前绩效评估工作的通知》以及本部门项目绩效目标及预算审核结果。2024年本部门财务机构抽查预算项目（含一次性项目）</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个项目，不存在绩效目标与计划期内的任务量、预算安排不相匹配的部门预算项目（含一次性项目）的项目。根据《部门整体支出绩效自评打分表》的评分说明本项指标权重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（3）项目入库</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根据遂财预</w:t>
      </w:r>
      <w:r>
        <w:rPr>
          <w:rFonts w:hint="eastAsia" w:ascii="宋体" w:hAnsi="宋体" w:eastAsia="宋体" w:cs="宋体"/>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2023</w:t>
      </w:r>
      <w:r>
        <w:rPr>
          <w:rFonts w:hint="eastAsia" w:ascii="宋体" w:hAnsi="宋体" w:eastAsia="宋体" w:cs="宋体"/>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1</w:t>
      </w:r>
      <w:r>
        <w:rPr>
          <w:rFonts w:hint="eastAsia" w:ascii="仿宋_GB2312" w:hAnsi="仿宋_GB2312" w:eastAsia="仿宋_GB2312" w:cs="仿宋_GB2312"/>
          <w:b w:val="0"/>
          <w:kern w:val="2"/>
          <w:sz w:val="32"/>
          <w:szCs w:val="32"/>
          <w:lang w:val="en-US" w:eastAsia="zh-CN" w:bidi="ar-SA"/>
        </w:rPr>
        <w:t>7</w:t>
      </w:r>
      <w:r>
        <w:rPr>
          <w:rFonts w:hint="eastAsia" w:ascii="仿宋_GB2312" w:hAnsi="仿宋_GB2312" w:eastAsia="仿宋_GB2312" w:cs="仿宋_GB2312"/>
          <w:b w:val="0"/>
          <w:kern w:val="2"/>
          <w:sz w:val="32"/>
          <w:szCs w:val="32"/>
          <w:lang w:val="zh-CN" w:eastAsia="zh-CN" w:bidi="ar-SA"/>
        </w:rPr>
        <w:t>号《关于编制市级部门</w:t>
      </w:r>
      <w:r>
        <w:rPr>
          <w:rFonts w:hint="eastAsia" w:ascii="仿宋_GB2312" w:hAnsi="仿宋_GB2312" w:eastAsia="仿宋_GB2312" w:cs="仿宋_GB2312"/>
          <w:b w:val="0"/>
          <w:kern w:val="2"/>
          <w:sz w:val="32"/>
          <w:szCs w:val="32"/>
          <w:lang w:val="en-US" w:eastAsia="zh-CN" w:bidi="ar-SA"/>
        </w:rPr>
        <w:t>2024年-2026年支出规划和2024年部门预算</w:t>
      </w:r>
      <w:r>
        <w:rPr>
          <w:rFonts w:hint="eastAsia" w:ascii="仿宋_GB2312" w:hAnsi="仿宋_GB2312" w:eastAsia="仿宋_GB2312" w:cs="仿宋_GB2312"/>
          <w:b w:val="0"/>
          <w:kern w:val="2"/>
          <w:sz w:val="32"/>
          <w:szCs w:val="32"/>
          <w:lang w:val="zh-CN" w:eastAsia="zh-CN" w:bidi="ar-SA"/>
        </w:rPr>
        <w:t>的通知》，2024年部门预算项目要求入库时间为</w:t>
      </w:r>
      <w:r>
        <w:rPr>
          <w:rFonts w:hint="eastAsia" w:ascii="仿宋_GB2312" w:hAnsi="仿宋_GB2312" w:eastAsia="仿宋_GB2312" w:cs="仿宋_GB2312"/>
          <w:b w:val="0"/>
          <w:kern w:val="2"/>
          <w:sz w:val="32"/>
          <w:szCs w:val="32"/>
          <w:lang w:val="en-US" w:eastAsia="zh-CN" w:bidi="ar-SA"/>
        </w:rPr>
        <w:t>2023</w:t>
      </w:r>
      <w:r>
        <w:rPr>
          <w:rFonts w:hint="eastAsia" w:ascii="仿宋_GB2312" w:hAnsi="仿宋_GB2312" w:eastAsia="仿宋_GB2312" w:cs="仿宋_GB2312"/>
          <w:b w:val="0"/>
          <w:kern w:val="2"/>
          <w:sz w:val="32"/>
          <w:szCs w:val="32"/>
          <w:lang w:val="zh-CN" w:eastAsia="zh-CN" w:bidi="ar-SA"/>
        </w:rPr>
        <w:t>年</w:t>
      </w:r>
      <w:r>
        <w:rPr>
          <w:rFonts w:hint="eastAsia" w:ascii="仿宋_GB2312" w:hAnsi="仿宋_GB2312" w:eastAsia="仿宋_GB2312" w:cs="仿宋_GB2312"/>
          <w:b w:val="0"/>
          <w:kern w:val="2"/>
          <w:sz w:val="32"/>
          <w:szCs w:val="32"/>
          <w:lang w:val="en-US" w:eastAsia="zh-CN" w:bidi="ar-SA"/>
        </w:rPr>
        <w:t>10</w:t>
      </w:r>
      <w:r>
        <w:rPr>
          <w:rFonts w:hint="eastAsia" w:ascii="仿宋_GB2312" w:hAnsi="仿宋_GB2312" w:eastAsia="仿宋_GB2312" w:cs="仿宋_GB2312"/>
          <w:b w:val="0"/>
          <w:kern w:val="2"/>
          <w:sz w:val="32"/>
          <w:szCs w:val="32"/>
          <w:lang w:val="zh-CN" w:eastAsia="zh-CN" w:bidi="ar-SA"/>
        </w:rPr>
        <w:t>月</w:t>
      </w:r>
      <w:r>
        <w:rPr>
          <w:rFonts w:hint="eastAsia" w:ascii="仿宋_GB2312" w:hAnsi="仿宋_GB2312" w:eastAsia="仿宋_GB2312" w:cs="仿宋_GB2312"/>
          <w:b w:val="0"/>
          <w:kern w:val="2"/>
          <w:sz w:val="32"/>
          <w:szCs w:val="32"/>
          <w:lang w:val="en-US" w:eastAsia="zh-CN" w:bidi="ar-SA"/>
        </w:rPr>
        <w:t>20</w:t>
      </w:r>
      <w:r>
        <w:rPr>
          <w:rFonts w:hint="eastAsia" w:ascii="仿宋_GB2312" w:hAnsi="仿宋_GB2312" w:eastAsia="仿宋_GB2312" w:cs="仿宋_GB2312"/>
          <w:b w:val="0"/>
          <w:kern w:val="2"/>
          <w:sz w:val="32"/>
          <w:szCs w:val="32"/>
          <w:lang w:val="zh-CN" w:eastAsia="zh-CN" w:bidi="ar-SA"/>
        </w:rPr>
        <w:t>日之前。2024年本部门最终安排部门预算项目（含一次性项目）总数</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个，不存规定时间未入财政库部门预算项目（含一次性项目），项目入库及时率100%。根据《部门整体支出绩效自评打分表》的评分说明本项指标权重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firstLine="663" w:firstLineChars="200"/>
        <w:contextualSpacing/>
        <w:jc w:val="both"/>
        <w:textAlignment w:val="auto"/>
        <w:outlineLvl w:val="9"/>
        <w:rPr>
          <w:rFonts w:hint="eastAsia" w:ascii="Times New Roman" w:hAnsi="Times New Roman" w:eastAsia="楷体_GB2312" w:cs="楷体_GB2312"/>
          <w:b/>
          <w:bCs/>
          <w:color w:val="000000"/>
          <w:kern w:val="0"/>
          <w:sz w:val="33"/>
          <w:szCs w:val="33"/>
          <w:highlight w:val="none"/>
          <w:shd w:val="clear" w:color="auto" w:fill="FFFFFF"/>
          <w:lang w:val="zh-CN" w:eastAsia="zh-CN"/>
        </w:rPr>
      </w:pPr>
      <w:r>
        <w:rPr>
          <w:rFonts w:hint="eastAsia" w:ascii="Times New Roman" w:hAnsi="Times New Roman" w:eastAsia="楷体_GB2312" w:cs="楷体_GB2312"/>
          <w:b/>
          <w:bCs/>
          <w:color w:val="000000"/>
          <w:kern w:val="0"/>
          <w:sz w:val="33"/>
          <w:szCs w:val="33"/>
          <w:highlight w:val="none"/>
          <w:shd w:val="clear" w:color="auto" w:fill="FFFFFF"/>
          <w:lang w:val="en-US" w:eastAsia="zh-CN"/>
        </w:rPr>
        <w:t>2.项目执行</w:t>
      </w:r>
      <w:r>
        <w:rPr>
          <w:rFonts w:hint="eastAsia" w:ascii="Times New Roman" w:hAnsi="Times New Roman" w:eastAsia="楷体_GB2312" w:cs="楷体_GB2312"/>
          <w:b/>
          <w:bCs/>
          <w:color w:val="000000"/>
          <w:kern w:val="0"/>
          <w:sz w:val="33"/>
          <w:szCs w:val="33"/>
          <w:highlight w:val="none"/>
          <w:shd w:val="clear" w:color="auto" w:fill="FFFFFF"/>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（1）执行同向</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2024年</w:t>
      </w:r>
      <w:r>
        <w:rPr>
          <w:rFonts w:hint="eastAsia" w:ascii="仿宋_GB2312" w:hAnsi="仿宋_GB2312" w:cs="仿宋_GB2312"/>
          <w:b w:val="0"/>
          <w:kern w:val="2"/>
          <w:sz w:val="32"/>
          <w:szCs w:val="32"/>
          <w:lang w:val="zh-CN" w:eastAsia="zh-CN" w:bidi="ar-SA"/>
        </w:rPr>
        <w:t>本</w:t>
      </w:r>
      <w:r>
        <w:rPr>
          <w:rFonts w:hint="eastAsia" w:ascii="仿宋_GB2312" w:hAnsi="仿宋_GB2312" w:cs="仿宋_GB2312"/>
          <w:b w:val="0"/>
          <w:kern w:val="2"/>
          <w:sz w:val="32"/>
          <w:szCs w:val="32"/>
          <w:lang w:val="en-US" w:eastAsia="zh-CN" w:bidi="ar-SA"/>
        </w:rPr>
        <w:t>单位</w:t>
      </w:r>
      <w:r>
        <w:rPr>
          <w:rFonts w:hint="eastAsia" w:ascii="仿宋_GB2312" w:hAnsi="仿宋_GB2312" w:eastAsia="仿宋_GB2312" w:cs="仿宋_GB2312"/>
          <w:b w:val="0"/>
          <w:kern w:val="2"/>
          <w:sz w:val="32"/>
          <w:szCs w:val="32"/>
          <w:lang w:val="zh-CN" w:eastAsia="zh-CN" w:bidi="ar-SA"/>
        </w:rPr>
        <w:t>预算项目（含一次性项目）总数</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个，按照“抽评的部门预算项目（含一次性项目）总数10个以下的全部纳入，每增加5个多纳入1个，最多不超过30个”，抽凭</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5</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5</w:t>
      </w:r>
      <w:r>
        <w:rPr>
          <w:rFonts w:hint="eastAsia" w:ascii="仿宋_GB2312" w:hAnsi="仿宋_GB2312" w:eastAsia="仿宋_GB2312" w:cs="仿宋_GB2312"/>
          <w:b w:val="0"/>
          <w:kern w:val="2"/>
          <w:sz w:val="32"/>
          <w:szCs w:val="32"/>
          <w:lang w:val="zh-CN"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en-US" w:eastAsia="zh-CN" w:bidi="ar-SA"/>
        </w:rPr>
        <w:t>2</w:t>
      </w:r>
      <w:r>
        <w:rPr>
          <w:rFonts w:hint="eastAsia" w:ascii="仿宋_GB2312" w:hAnsi="仿宋_GB2312" w:eastAsia="仿宋_GB2312" w:cs="仿宋_GB2312"/>
          <w:b w:val="0"/>
          <w:kern w:val="2"/>
          <w:sz w:val="32"/>
          <w:szCs w:val="32"/>
          <w:lang w:val="zh-CN" w:eastAsia="zh-CN" w:bidi="ar-SA"/>
        </w:rPr>
        <w:t>）项目调整</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2024年本</w:t>
      </w:r>
      <w:r>
        <w:rPr>
          <w:rFonts w:hint="eastAsia" w:ascii="仿宋_GB2312" w:hAnsi="仿宋_GB2312" w:cs="仿宋_GB2312"/>
          <w:b w:val="0"/>
          <w:kern w:val="2"/>
          <w:sz w:val="32"/>
          <w:szCs w:val="32"/>
          <w:lang w:val="en-US" w:eastAsia="zh-CN" w:bidi="ar-SA"/>
        </w:rPr>
        <w:t>单位</w:t>
      </w:r>
      <w:r>
        <w:rPr>
          <w:rFonts w:hint="eastAsia" w:ascii="仿宋_GB2312" w:hAnsi="仿宋_GB2312" w:eastAsia="仿宋_GB2312" w:cs="仿宋_GB2312"/>
          <w:b w:val="0"/>
          <w:kern w:val="2"/>
          <w:sz w:val="32"/>
          <w:szCs w:val="32"/>
          <w:lang w:val="zh-CN" w:eastAsia="zh-CN" w:bidi="ar-SA"/>
        </w:rPr>
        <w:t>不涉及应采取未采取收回预算、调整目标等处置措施的部门预算阶段项目（含一次性项目）。根据《部门整体支出绩效自评打分表》的评分说明本项指标权重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6</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6</w:t>
      </w:r>
      <w:r>
        <w:rPr>
          <w:rFonts w:hint="eastAsia" w:ascii="仿宋_GB2312" w:hAnsi="仿宋_GB2312" w:eastAsia="仿宋_GB2312" w:cs="仿宋_GB2312"/>
          <w:b w:val="0"/>
          <w:kern w:val="2"/>
          <w:sz w:val="32"/>
          <w:szCs w:val="32"/>
          <w:lang w:val="en-US" w:eastAsia="zh-CN" w:bidi="ar-SA"/>
        </w:rPr>
        <w:t xml:space="preserve"> </w:t>
      </w:r>
      <w:r>
        <w:rPr>
          <w:rFonts w:hint="eastAsia" w:ascii="仿宋_GB2312" w:hAnsi="仿宋_GB2312" w:eastAsia="仿宋_GB2312" w:cs="仿宋_GB2312"/>
          <w:b w:val="0"/>
          <w:kern w:val="2"/>
          <w:sz w:val="32"/>
          <w:szCs w:val="32"/>
          <w:lang w:val="zh-CN"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（3）执行结果</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2024年本单位共实施</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个项目，其中：常年项目</w:t>
      </w:r>
      <w:r>
        <w:rPr>
          <w:rFonts w:hint="eastAsia" w:ascii="仿宋_GB2312" w:hAnsi="仿宋_GB2312" w:eastAsia="仿宋_GB2312" w:cs="仿宋_GB2312"/>
          <w:b w:val="0"/>
          <w:kern w:val="2"/>
          <w:sz w:val="32"/>
          <w:szCs w:val="32"/>
          <w:lang w:val="en-US" w:eastAsia="zh-CN" w:bidi="ar-SA"/>
        </w:rPr>
        <w:t>1</w:t>
      </w:r>
      <w:r>
        <w:rPr>
          <w:rFonts w:hint="eastAsia" w:ascii="仿宋_GB2312" w:hAnsi="仿宋_GB2312" w:eastAsia="仿宋_GB2312" w:cs="仿宋_GB2312"/>
          <w:b w:val="0"/>
          <w:kern w:val="2"/>
          <w:sz w:val="32"/>
          <w:szCs w:val="32"/>
          <w:lang w:val="zh-CN" w:eastAsia="zh-CN" w:bidi="ar-SA"/>
        </w:rPr>
        <w:t>个，一次性项目和阶段项目</w:t>
      </w:r>
      <w:r>
        <w:rPr>
          <w:rFonts w:hint="eastAsia" w:ascii="仿宋_GB2312" w:hAnsi="仿宋_GB2312" w:eastAsia="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zh-CN" w:eastAsia="zh-CN" w:bidi="ar-SA"/>
        </w:rPr>
        <w:t>个。根据一体化系统预算可执行情况表，共</w:t>
      </w:r>
      <w:r>
        <w:rPr>
          <w:rFonts w:hint="eastAsia" w:ascii="仿宋_GB2312" w:hAnsi="仿宋_GB2312" w:eastAsia="仿宋_GB2312" w:cs="仿宋_GB2312"/>
          <w:b w:val="0"/>
          <w:kern w:val="2"/>
          <w:sz w:val="32"/>
          <w:szCs w:val="32"/>
          <w:lang w:val="en-US" w:eastAsia="zh-CN" w:bidi="ar-SA"/>
        </w:rPr>
        <w:t>1</w:t>
      </w:r>
      <w:r>
        <w:rPr>
          <w:rFonts w:hint="eastAsia" w:ascii="仿宋_GB2312" w:hAnsi="仿宋_GB2312" w:eastAsia="仿宋_GB2312" w:cs="仿宋_GB2312"/>
          <w:b w:val="0"/>
          <w:kern w:val="2"/>
          <w:sz w:val="32"/>
          <w:szCs w:val="32"/>
          <w:lang w:val="zh-CN" w:eastAsia="zh-CN" w:bidi="ar-SA"/>
        </w:rPr>
        <w:t>个常年项目预算结余率小于10%，</w:t>
      </w:r>
      <w:r>
        <w:rPr>
          <w:rFonts w:hint="eastAsia" w:ascii="仿宋_GB2312" w:hAnsi="仿宋_GB2312" w:eastAsia="仿宋_GB2312" w:cs="仿宋_GB2312"/>
          <w:b w:val="0"/>
          <w:kern w:val="2"/>
          <w:sz w:val="32"/>
          <w:szCs w:val="32"/>
          <w:lang w:val="en-US" w:eastAsia="zh-CN" w:bidi="ar-SA"/>
        </w:rPr>
        <w:t>0</w:t>
      </w:r>
      <w:r>
        <w:rPr>
          <w:rFonts w:hint="eastAsia" w:ascii="仿宋_GB2312" w:hAnsi="仿宋_GB2312" w:eastAsia="仿宋_GB2312" w:cs="仿宋_GB2312"/>
          <w:b w:val="0"/>
          <w:kern w:val="2"/>
          <w:sz w:val="32"/>
          <w:szCs w:val="32"/>
          <w:lang w:val="zh-CN" w:eastAsia="zh-CN" w:bidi="ar-SA"/>
        </w:rPr>
        <w:t>个常年项目预算结余率大于10%；共</w:t>
      </w:r>
      <w:r>
        <w:rPr>
          <w:rFonts w:hint="eastAsia" w:ascii="仿宋_GB2312" w:hAnsi="仿宋_GB2312" w:eastAsia="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zh-CN" w:eastAsia="zh-CN" w:bidi="ar-SA"/>
        </w:rPr>
        <w:t>个一次性项目和阶段项目预算结余率小于10%，</w:t>
      </w:r>
      <w:r>
        <w:rPr>
          <w:rFonts w:hint="eastAsia" w:ascii="仿宋_GB2312" w:hAnsi="仿宋_GB2312" w:eastAsia="仿宋_GB2312" w:cs="仿宋_GB2312"/>
          <w:b w:val="0"/>
          <w:kern w:val="2"/>
          <w:sz w:val="32"/>
          <w:szCs w:val="32"/>
          <w:lang w:val="en-US" w:eastAsia="zh-CN" w:bidi="ar-SA"/>
        </w:rPr>
        <w:t>0</w:t>
      </w:r>
      <w:r>
        <w:rPr>
          <w:rFonts w:hint="eastAsia" w:ascii="仿宋_GB2312" w:hAnsi="仿宋_GB2312" w:eastAsia="仿宋_GB2312" w:cs="仿宋_GB2312"/>
          <w:b w:val="0"/>
          <w:kern w:val="2"/>
          <w:sz w:val="32"/>
          <w:szCs w:val="32"/>
          <w:lang w:val="zh-CN" w:eastAsia="zh-CN" w:bidi="ar-SA"/>
        </w:rPr>
        <w:t>个一次性项目和阶段年项目预算结余率大于10%。根据《部门整体支出绩效自评打分表》的评分说明本项指标权重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firstLine="663" w:firstLineChars="200"/>
        <w:contextualSpacing/>
        <w:jc w:val="both"/>
        <w:textAlignment w:val="auto"/>
        <w:outlineLvl w:val="9"/>
        <w:rPr>
          <w:rFonts w:hint="eastAsia" w:ascii="Times New Roman" w:hAnsi="Times New Roman" w:eastAsia="楷体_GB2312" w:cs="楷体_GB2312"/>
          <w:b/>
          <w:bCs/>
          <w:color w:val="000000"/>
          <w:kern w:val="0"/>
          <w:sz w:val="33"/>
          <w:szCs w:val="33"/>
          <w:highlight w:val="none"/>
          <w:shd w:val="clear" w:color="auto" w:fill="FFFFFF"/>
          <w:lang w:val="zh-CN" w:eastAsia="zh-CN"/>
        </w:rPr>
      </w:pPr>
      <w:r>
        <w:rPr>
          <w:rFonts w:hint="eastAsia" w:ascii="Times New Roman" w:hAnsi="Times New Roman" w:eastAsia="楷体_GB2312" w:cs="楷体_GB2312"/>
          <w:b/>
          <w:bCs/>
          <w:color w:val="000000"/>
          <w:kern w:val="0"/>
          <w:sz w:val="33"/>
          <w:szCs w:val="33"/>
          <w:highlight w:val="none"/>
          <w:shd w:val="clear" w:color="auto" w:fill="FFFFFF"/>
          <w:lang w:val="en-US" w:eastAsia="zh-CN"/>
        </w:rPr>
        <w:t>3.</w:t>
      </w:r>
      <w:r>
        <w:rPr>
          <w:rFonts w:hint="eastAsia" w:ascii="Times New Roman" w:hAnsi="Times New Roman" w:eastAsia="楷体_GB2312" w:cs="楷体_GB2312"/>
          <w:b/>
          <w:bCs/>
          <w:color w:val="000000"/>
          <w:kern w:val="0"/>
          <w:sz w:val="33"/>
          <w:szCs w:val="33"/>
          <w:highlight w:val="none"/>
          <w:shd w:val="clear" w:color="auto" w:fill="FFFFFF"/>
          <w:lang w:val="zh-CN" w:eastAsia="zh-CN"/>
        </w:rPr>
        <w:t>目标实现。</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cs="仿宋_GB2312"/>
          <w:b w:val="0"/>
          <w:kern w:val="2"/>
          <w:sz w:val="32"/>
          <w:szCs w:val="32"/>
          <w:lang w:val="zh-CN" w:eastAsia="zh-CN" w:bidi="ar-SA"/>
        </w:rPr>
        <w:t>（</w:t>
      </w:r>
      <w:r>
        <w:rPr>
          <w:rFonts w:hint="eastAsia" w:ascii="仿宋_GB2312" w:hAnsi="仿宋_GB2312" w:cs="仿宋_GB2312"/>
          <w:b w:val="0"/>
          <w:kern w:val="2"/>
          <w:sz w:val="32"/>
          <w:szCs w:val="32"/>
          <w:lang w:val="en-US" w:eastAsia="zh-CN" w:bidi="ar-SA"/>
        </w:rPr>
        <w:t>1</w:t>
      </w:r>
      <w:r>
        <w:rPr>
          <w:rFonts w:hint="eastAsia" w:ascii="仿宋_GB2312" w:hAnsi="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目标完成</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202</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年本单位共实施</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个项目共有</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条数量指标，</w:t>
      </w:r>
      <w:r>
        <w:rPr>
          <w:rFonts w:hint="eastAsia" w:ascii="仿宋_GB2312" w:hAnsi="仿宋_GB2312" w:eastAsia="仿宋_GB2312" w:cs="仿宋_GB2312"/>
          <w:b w:val="0"/>
          <w:kern w:val="2"/>
          <w:sz w:val="32"/>
          <w:szCs w:val="32"/>
          <w:lang w:val="en-US" w:eastAsia="zh-CN" w:bidi="ar-SA"/>
        </w:rPr>
        <w:t xml:space="preserve"> </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条数量指标均完成目标值。根据《部门整体支出绩效自评打分表》的评分说明本项指标权重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6</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6</w:t>
      </w:r>
      <w:r>
        <w:rPr>
          <w:rFonts w:hint="eastAsia" w:ascii="仿宋_GB2312" w:hAnsi="仿宋_GB2312" w:eastAsia="仿宋_GB2312" w:cs="仿宋_GB2312"/>
          <w:b w:val="0"/>
          <w:kern w:val="2"/>
          <w:sz w:val="32"/>
          <w:szCs w:val="32"/>
          <w:lang w:val="zh-CN" w:eastAsia="zh-CN" w:bidi="ar-SA"/>
        </w:rPr>
        <w:t>分。具体情况详见下表：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2156"/>
        <w:gridCol w:w="1557"/>
        <w:gridCol w:w="1050"/>
        <w:gridCol w:w="1125"/>
        <w:gridCol w:w="1144"/>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序号</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项目名称</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数量指标</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目标值</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完成值</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目标完成情况</w:t>
            </w:r>
          </w:p>
        </w:tc>
        <w:tc>
          <w:tcPr>
            <w:tcW w:w="12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国有土地使用权出让支出(补助支出）</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收储闲置土地数量</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1宗</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1宗</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已完成</w:t>
            </w:r>
          </w:p>
        </w:tc>
        <w:tc>
          <w:tcPr>
            <w:tcW w:w="129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部门预算项目支出绩效自评表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2</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储备土地计划编制、管护等费用</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储备土地巡查数量</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10宗</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10宗</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已完成</w:t>
            </w:r>
          </w:p>
        </w:tc>
        <w:tc>
          <w:tcPr>
            <w:tcW w:w="129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3</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政府债券发行费用</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政府债券发行</w:t>
            </w:r>
            <w:r>
              <w:rPr>
                <w:rFonts w:hint="eastAsia" w:cs="Times New Roman"/>
                <w:sz w:val="24"/>
                <w:szCs w:val="24"/>
                <w:vertAlign w:val="baseline"/>
                <w:lang w:val="en-US" w:eastAsia="zh-CN"/>
              </w:rPr>
              <w:t>费用对应的项目数量</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1个</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1个</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已完成</w:t>
            </w:r>
          </w:p>
        </w:tc>
        <w:tc>
          <w:tcPr>
            <w:tcW w:w="129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4</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土地储备专项债券资金利息及还息手续费</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土地储备专项债券对应的项目</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cs="Times New Roman"/>
                <w:sz w:val="24"/>
                <w:szCs w:val="24"/>
                <w:vertAlign w:val="baseline"/>
                <w:lang w:val="en-US" w:eastAsia="zh-CN"/>
              </w:rPr>
              <w:t>1个</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cs="Times New Roman"/>
                <w:sz w:val="24"/>
                <w:szCs w:val="24"/>
                <w:vertAlign w:val="baseline"/>
                <w:lang w:val="en-US" w:eastAsia="zh-CN"/>
              </w:rPr>
              <w:t>1个</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ascii="Times New Roman" w:hAnsi="Times New Roman" w:cs="Times New Roman"/>
                <w:sz w:val="24"/>
                <w:szCs w:val="24"/>
                <w:vertAlign w:val="baseline"/>
                <w:lang w:val="en-US" w:eastAsia="zh-CN"/>
              </w:rPr>
              <w:t>已完成</w:t>
            </w:r>
          </w:p>
        </w:tc>
        <w:tc>
          <w:tcPr>
            <w:tcW w:w="129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en-US" w:eastAsia="zh-CN" w:bidi="ar-SA"/>
        </w:rPr>
        <w:t>2</w:t>
      </w:r>
      <w:r>
        <w:rPr>
          <w:rFonts w:hint="eastAsia" w:ascii="仿宋_GB2312" w:hAnsi="仿宋_GB2312" w:eastAsia="仿宋_GB2312" w:cs="仿宋_GB2312"/>
          <w:b w:val="0"/>
          <w:kern w:val="2"/>
          <w:sz w:val="32"/>
          <w:szCs w:val="32"/>
          <w:lang w:val="zh-CN" w:eastAsia="zh-CN" w:bidi="ar-SA"/>
        </w:rPr>
        <w:t>）目标偏离</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202</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年本单位共实施</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个项目共有</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条数量指标，2024年已完成预期指标值的数量指标共计</w:t>
      </w:r>
      <w:r>
        <w:rPr>
          <w:rFonts w:hint="eastAsia" w:ascii="仿宋_GB2312" w:hAnsi="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条。根据《部门整体支出绩效自评打分表》的评分说明本项指标权重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6</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cs="仿宋_GB2312"/>
          <w:b w:val="0"/>
          <w:kern w:val="2"/>
          <w:sz w:val="32"/>
          <w:szCs w:val="32"/>
          <w:lang w:val="en-US" w:eastAsia="zh-CN" w:bidi="ar-SA"/>
        </w:rPr>
        <w:t>6</w:t>
      </w:r>
      <w:r>
        <w:rPr>
          <w:rFonts w:hint="eastAsia" w:ascii="仿宋_GB2312" w:hAnsi="仿宋_GB2312" w:eastAsia="仿宋_GB2312" w:cs="仿宋_GB2312"/>
          <w:b w:val="0"/>
          <w:kern w:val="2"/>
          <w:sz w:val="32"/>
          <w:szCs w:val="32"/>
          <w:lang w:val="zh-CN" w:eastAsia="zh-CN" w:bidi="ar-SA"/>
        </w:rPr>
        <w:t>分。具体情况详见下表：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2156"/>
        <w:gridCol w:w="1557"/>
        <w:gridCol w:w="1050"/>
        <w:gridCol w:w="1125"/>
        <w:gridCol w:w="1144"/>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序号</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项目名称</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数量指标</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目标值</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完成值</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目标偏离度</w:t>
            </w:r>
          </w:p>
        </w:tc>
        <w:tc>
          <w:tcPr>
            <w:tcW w:w="12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国有土地使用权出让支出(补助支出）</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收储闲置土地数量</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1宗</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1宗</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0%</w:t>
            </w:r>
          </w:p>
        </w:tc>
        <w:tc>
          <w:tcPr>
            <w:tcW w:w="129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部门预算项目支出绩效自评表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2</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储备土地计划编制、管护等费用</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储备土地巡查数量</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10宗</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10宗</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0%</w:t>
            </w:r>
          </w:p>
        </w:tc>
        <w:tc>
          <w:tcPr>
            <w:tcW w:w="129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3</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政府债券发行费用</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政府债券发行</w:t>
            </w:r>
            <w:r>
              <w:rPr>
                <w:rFonts w:hint="eastAsia" w:cs="Times New Roman"/>
                <w:sz w:val="24"/>
                <w:szCs w:val="24"/>
                <w:vertAlign w:val="baseline"/>
                <w:lang w:val="en-US" w:eastAsia="zh-CN"/>
              </w:rPr>
              <w:t>费用对应的项目数量</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1个</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1个</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0%</w:t>
            </w:r>
          </w:p>
        </w:tc>
        <w:tc>
          <w:tcPr>
            <w:tcW w:w="129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4</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土地储备专项债券资金利息及还息手续费</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土地储备专项债券对应的项目</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cs="Times New Roman"/>
                <w:sz w:val="24"/>
                <w:szCs w:val="24"/>
                <w:vertAlign w:val="baseline"/>
                <w:lang w:val="en-US" w:eastAsia="zh-CN"/>
              </w:rPr>
              <w:t>1个</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cs="Times New Roman"/>
                <w:sz w:val="24"/>
                <w:szCs w:val="24"/>
                <w:vertAlign w:val="baseline"/>
                <w:lang w:val="en-US" w:eastAsia="zh-CN"/>
              </w:rPr>
              <w:t>1个</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cs="Times New Roman"/>
                <w:sz w:val="24"/>
                <w:szCs w:val="24"/>
                <w:vertAlign w:val="baseline"/>
                <w:lang w:val="en-US" w:eastAsia="zh-CN"/>
              </w:rPr>
              <w:t>0%</w:t>
            </w:r>
          </w:p>
        </w:tc>
        <w:tc>
          <w:tcPr>
            <w:tcW w:w="129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ascii="仿宋_GB2312" w:hAnsi="仿宋_GB2312" w:eastAsia="仿宋_GB2312" w:cs="仿宋_GB2312"/>
          <w:b w:val="0"/>
          <w:kern w:val="2"/>
          <w:sz w:val="32"/>
          <w:szCs w:val="32"/>
          <w:lang w:val="zh-CN" w:eastAsia="zh-CN" w:bidi="ar-SA"/>
        </w:rPr>
      </w:pPr>
      <w:r>
        <w:rPr>
          <w:rFonts w:hint="eastAsia" w:ascii="仿宋_GB2312" w:hAnsi="仿宋_GB2312" w:eastAsia="仿宋_GB2312" w:cs="仿宋_GB2312"/>
          <w:b w:val="0"/>
          <w:kern w:val="2"/>
          <w:sz w:val="32"/>
          <w:szCs w:val="32"/>
          <w:lang w:val="zh-CN" w:eastAsia="zh-CN" w:bidi="ar-SA"/>
        </w:rPr>
        <w:t>（</w:t>
      </w:r>
      <w:r>
        <w:rPr>
          <w:rFonts w:hint="eastAsia" w:ascii="仿宋_GB2312" w:hAnsi="仿宋_GB2312" w:eastAsia="仿宋_GB2312" w:cs="仿宋_GB2312"/>
          <w:b w:val="0"/>
          <w:kern w:val="2"/>
          <w:sz w:val="32"/>
          <w:szCs w:val="32"/>
          <w:lang w:val="en-US" w:eastAsia="zh-CN" w:bidi="ar-SA"/>
        </w:rPr>
        <w:t>3</w:t>
      </w:r>
      <w:r>
        <w:rPr>
          <w:rFonts w:hint="eastAsia" w:ascii="仿宋_GB2312" w:hAnsi="仿宋_GB2312" w:eastAsia="仿宋_GB2312" w:cs="仿宋_GB2312"/>
          <w:b w:val="0"/>
          <w:kern w:val="2"/>
          <w:sz w:val="32"/>
          <w:szCs w:val="32"/>
          <w:lang w:val="zh-CN" w:eastAsia="zh-CN" w:bidi="ar-SA"/>
        </w:rPr>
        <w:t>）实现效果</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eastAsia"/>
          <w:lang w:val="zh-CN" w:eastAsia="zh-CN"/>
        </w:rPr>
      </w:pPr>
      <w:r>
        <w:rPr>
          <w:rFonts w:hint="eastAsia" w:ascii="仿宋_GB2312" w:hAnsi="仿宋_GB2312" w:eastAsia="仿宋_GB2312" w:cs="仿宋_GB2312"/>
          <w:b w:val="0"/>
          <w:kern w:val="2"/>
          <w:sz w:val="32"/>
          <w:szCs w:val="32"/>
          <w:lang w:val="zh-CN" w:eastAsia="zh-CN" w:bidi="ar-SA"/>
        </w:rPr>
        <w:t>2024年本部门共实施</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个项目共有</w:t>
      </w:r>
      <w:r>
        <w:rPr>
          <w:rFonts w:hint="eastAsia" w:ascii="仿宋_GB2312" w:hAnsi="仿宋_GB2312" w:cs="仿宋_GB2312"/>
          <w:b w:val="0"/>
          <w:kern w:val="2"/>
          <w:sz w:val="32"/>
          <w:szCs w:val="32"/>
          <w:lang w:val="en-US" w:eastAsia="zh-CN" w:bidi="ar-SA"/>
        </w:rPr>
        <w:t>9</w:t>
      </w:r>
      <w:r>
        <w:rPr>
          <w:rFonts w:hint="eastAsia" w:ascii="仿宋_GB2312" w:hAnsi="仿宋_GB2312" w:eastAsia="仿宋_GB2312" w:cs="仿宋_GB2312"/>
          <w:b w:val="0"/>
          <w:kern w:val="2"/>
          <w:sz w:val="32"/>
          <w:szCs w:val="32"/>
          <w:lang w:val="zh-CN" w:eastAsia="zh-CN" w:bidi="ar-SA"/>
        </w:rPr>
        <w:t>条效益指标，经核查</w:t>
      </w:r>
      <w:r>
        <w:rPr>
          <w:rFonts w:hint="eastAsia" w:ascii="仿宋_GB2312" w:hAnsi="仿宋_GB2312" w:cs="仿宋_GB2312"/>
          <w:b w:val="0"/>
          <w:kern w:val="2"/>
          <w:sz w:val="32"/>
          <w:szCs w:val="32"/>
          <w:lang w:val="en-US" w:eastAsia="zh-CN" w:bidi="ar-SA"/>
        </w:rPr>
        <w:t>9</w:t>
      </w:r>
      <w:r>
        <w:rPr>
          <w:rFonts w:hint="eastAsia" w:ascii="仿宋_GB2312" w:hAnsi="仿宋_GB2312" w:eastAsia="仿宋_GB2312" w:cs="仿宋_GB2312"/>
          <w:b w:val="0"/>
          <w:kern w:val="2"/>
          <w:sz w:val="32"/>
          <w:szCs w:val="32"/>
          <w:lang w:val="zh-CN" w:eastAsia="zh-CN" w:bidi="ar-SA"/>
        </w:rPr>
        <w:t>条效益指标完成。各类项目均实现其效果。根据《部门整体支出绩效自评打分表》的评分说明本项指标权重</w:t>
      </w:r>
      <w:r>
        <w:rPr>
          <w:rFonts w:hint="eastAsia" w:ascii="仿宋_GB2312" w:hAnsi="仿宋_GB2312" w:eastAsia="仿宋_GB2312" w:cs="仿宋_GB2312"/>
          <w:b w:val="0"/>
          <w:kern w:val="2"/>
          <w:sz w:val="32"/>
          <w:szCs w:val="32"/>
          <w:lang w:val="en-US" w:eastAsia="zh-CN" w:bidi="ar-SA"/>
        </w:rPr>
        <w:t>5</w:t>
      </w:r>
      <w:r>
        <w:rPr>
          <w:rFonts w:hint="eastAsia" w:ascii="仿宋_GB2312" w:hAnsi="仿宋_GB2312" w:eastAsia="仿宋_GB2312" w:cs="仿宋_GB2312"/>
          <w:b w:val="0"/>
          <w:kern w:val="2"/>
          <w:sz w:val="32"/>
          <w:szCs w:val="32"/>
          <w:lang w:val="zh-CN" w:eastAsia="zh-CN" w:bidi="ar-SA"/>
        </w:rPr>
        <w:t>分、得分</w:t>
      </w:r>
      <w:r>
        <w:rPr>
          <w:rFonts w:hint="eastAsia" w:ascii="仿宋_GB2312" w:hAnsi="仿宋_GB2312" w:eastAsia="仿宋_GB2312" w:cs="仿宋_GB2312"/>
          <w:b w:val="0"/>
          <w:kern w:val="2"/>
          <w:sz w:val="32"/>
          <w:szCs w:val="32"/>
          <w:lang w:val="en-US" w:eastAsia="zh-CN" w:bidi="ar-SA"/>
        </w:rPr>
        <w:t>5</w:t>
      </w:r>
      <w:r>
        <w:rPr>
          <w:rFonts w:hint="eastAsia" w:ascii="仿宋_GB2312" w:hAnsi="仿宋_GB2312" w:eastAsia="仿宋_GB2312" w:cs="仿宋_GB2312"/>
          <w:b w:val="0"/>
          <w:kern w:val="2"/>
          <w:sz w:val="32"/>
          <w:szCs w:val="32"/>
          <w:lang w:val="zh-CN" w:eastAsia="zh-CN" w:bidi="ar-SA"/>
        </w:rPr>
        <w:t>分。具体情况详见下表：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973"/>
        <w:gridCol w:w="2082"/>
        <w:gridCol w:w="993"/>
        <w:gridCol w:w="1032"/>
        <w:gridCol w:w="1087"/>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61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序号</w:t>
            </w:r>
          </w:p>
        </w:tc>
        <w:tc>
          <w:tcPr>
            <w:tcW w:w="197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项目名称</w:t>
            </w: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cs="Times New Roman"/>
                <w:sz w:val="24"/>
                <w:szCs w:val="24"/>
                <w:vertAlign w:val="baseline"/>
                <w:lang w:val="en-US" w:eastAsia="zh-CN"/>
              </w:rPr>
              <w:t>效益</w:t>
            </w:r>
            <w:r>
              <w:rPr>
                <w:rFonts w:hint="eastAsia" w:ascii="Times New Roman" w:hAnsi="Times New Roman" w:cs="Times New Roman"/>
                <w:sz w:val="24"/>
                <w:szCs w:val="24"/>
                <w:vertAlign w:val="baseline"/>
                <w:lang w:val="en-US" w:eastAsia="zh-CN"/>
              </w:rPr>
              <w:t>指标</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目标值</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完成值</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cs="Times New Roman"/>
                <w:sz w:val="24"/>
                <w:szCs w:val="24"/>
                <w:vertAlign w:val="baseline"/>
                <w:lang w:val="en-US" w:eastAsia="zh-CN"/>
              </w:rPr>
              <w:t>是否完成</w:t>
            </w:r>
          </w:p>
        </w:tc>
        <w:tc>
          <w:tcPr>
            <w:tcW w:w="114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zh-CN" w:eastAsia="zh-CN"/>
              </w:rPr>
            </w:pPr>
            <w:r>
              <w:rPr>
                <w:rFonts w:hint="eastAsia" w:ascii="Times New Roman" w:hAnsi="Times New Roman" w:cs="Times New Roman"/>
                <w:sz w:val="24"/>
                <w:szCs w:val="24"/>
                <w:vertAlign w:val="baseline"/>
                <w:lang w:val="en-US" w:eastAsia="zh-CN"/>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617"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1</w:t>
            </w:r>
          </w:p>
        </w:tc>
        <w:tc>
          <w:tcPr>
            <w:tcW w:w="197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国有土地使用权出让支出(补助支出）</w:t>
            </w: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新出让土地补助对园区财政的影响</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是</w:t>
            </w:r>
          </w:p>
        </w:tc>
        <w:tc>
          <w:tcPr>
            <w:tcW w:w="1144"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部门预算项目支出绩效自评表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61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p>
        </w:tc>
        <w:tc>
          <w:tcPr>
            <w:tcW w:w="197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优化土地利用结构情况</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是</w:t>
            </w:r>
          </w:p>
        </w:tc>
        <w:tc>
          <w:tcPr>
            <w:tcW w:w="114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617"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2</w:t>
            </w:r>
          </w:p>
        </w:tc>
        <w:tc>
          <w:tcPr>
            <w:tcW w:w="197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储备土地计划编制、管护等费用</w:t>
            </w: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提高储备土地计划指导性、科学性</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是</w:t>
            </w:r>
          </w:p>
        </w:tc>
        <w:tc>
          <w:tcPr>
            <w:tcW w:w="114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61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p>
        </w:tc>
        <w:tc>
          <w:tcPr>
            <w:tcW w:w="197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提高储备土地管护质量</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是</w:t>
            </w:r>
          </w:p>
        </w:tc>
        <w:tc>
          <w:tcPr>
            <w:tcW w:w="114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61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p>
        </w:tc>
        <w:tc>
          <w:tcPr>
            <w:tcW w:w="197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提升土地储备管护工作可持续发展能力</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是</w:t>
            </w:r>
          </w:p>
        </w:tc>
        <w:tc>
          <w:tcPr>
            <w:tcW w:w="114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617"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3</w:t>
            </w:r>
          </w:p>
        </w:tc>
        <w:tc>
          <w:tcPr>
            <w:tcW w:w="197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政府债券发行费用</w:t>
            </w: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对地方经济可持续发展的影响</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是</w:t>
            </w:r>
          </w:p>
        </w:tc>
        <w:tc>
          <w:tcPr>
            <w:tcW w:w="114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61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p>
        </w:tc>
        <w:tc>
          <w:tcPr>
            <w:tcW w:w="197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imes New Roman" w:hAnsi="Times New Roman" w:cs="Times New Roman"/>
                <w:sz w:val="24"/>
                <w:szCs w:val="24"/>
                <w:vertAlign w:val="baseline"/>
                <w:lang w:val="en-US" w:eastAsia="zh-CN"/>
              </w:rPr>
            </w:pP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有助于地方经济发展，保持经济稳定增长</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是</w:t>
            </w:r>
          </w:p>
        </w:tc>
        <w:tc>
          <w:tcPr>
            <w:tcW w:w="114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617"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s="Times New Roman"/>
                <w:sz w:val="24"/>
                <w:szCs w:val="24"/>
                <w:vertAlign w:val="baseline"/>
                <w:lang w:val="en-US" w:eastAsia="zh-CN"/>
              </w:rPr>
            </w:pPr>
            <w:r>
              <w:rPr>
                <w:rFonts w:hint="eastAsia" w:cs="Times New Roman"/>
                <w:sz w:val="24"/>
                <w:szCs w:val="24"/>
                <w:vertAlign w:val="baseline"/>
                <w:lang w:val="en-US" w:eastAsia="zh-CN"/>
              </w:rPr>
              <w:t>4</w:t>
            </w:r>
          </w:p>
        </w:tc>
        <w:tc>
          <w:tcPr>
            <w:tcW w:w="197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土地储备专项债券资金利息及还息手续费</w:t>
            </w: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对城市建设和经济发展的贡献情况</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24"/>
                <w:szCs w:val="24"/>
                <w:vertAlign w:val="baseline"/>
                <w:lang w:val="en-US" w:eastAsia="zh-CN" w:bidi="ar-SA"/>
              </w:rPr>
            </w:pPr>
            <w:r>
              <w:rPr>
                <w:rFonts w:hint="eastAsia" w:cs="Times New Roman"/>
                <w:sz w:val="24"/>
                <w:szCs w:val="24"/>
                <w:vertAlign w:val="baseline"/>
                <w:lang w:val="en-US" w:eastAsia="zh-CN"/>
              </w:rPr>
              <w:t>是</w:t>
            </w:r>
          </w:p>
        </w:tc>
        <w:tc>
          <w:tcPr>
            <w:tcW w:w="114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61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p>
        </w:tc>
        <w:tc>
          <w:tcPr>
            <w:tcW w:w="197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imes New Roman" w:hAnsi="Times New Roman" w:cs="Times New Roman"/>
                <w:sz w:val="24"/>
                <w:szCs w:val="24"/>
                <w:vertAlign w:val="baseline"/>
                <w:lang w:val="en-US" w:eastAsia="zh-CN"/>
              </w:rPr>
            </w:pPr>
          </w:p>
        </w:tc>
        <w:tc>
          <w:tcPr>
            <w:tcW w:w="208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地方政府债券付息工作达到的效果</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良好</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sz w:val="24"/>
                <w:szCs w:val="24"/>
                <w:vertAlign w:val="baseline"/>
                <w:lang w:val="en-US" w:eastAsia="zh-CN"/>
              </w:rPr>
            </w:pPr>
            <w:r>
              <w:rPr>
                <w:rFonts w:hint="eastAsia" w:cs="Times New Roman"/>
                <w:sz w:val="24"/>
                <w:szCs w:val="24"/>
                <w:vertAlign w:val="baseline"/>
                <w:lang w:val="en-US" w:eastAsia="zh-CN"/>
              </w:rPr>
              <w:t>是</w:t>
            </w:r>
          </w:p>
        </w:tc>
        <w:tc>
          <w:tcPr>
            <w:tcW w:w="114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24"/>
                <w:szCs w:val="24"/>
                <w:vertAlign w:val="baseline"/>
                <w:lang w:val="en-US" w:eastAsia="zh-CN"/>
              </w:rPr>
            </w:pPr>
          </w:p>
        </w:tc>
      </w:tr>
    </w:tbl>
    <w:p>
      <w:pPr>
        <w:keepNext w:val="0"/>
        <w:keepLines w:val="0"/>
        <w:pageBreakBefore w:val="0"/>
        <w:widowControl/>
        <w:kinsoku/>
        <w:wordWrap/>
        <w:overflowPunct/>
        <w:topLinePunct w:val="0"/>
        <w:autoSpaceDE/>
        <w:autoSpaceDN/>
        <w:bidi w:val="0"/>
        <w:adjustRightInd/>
        <w:snapToGrid/>
        <w:spacing w:line="590" w:lineRule="exact"/>
        <w:ind w:right="0" w:rightChars="0" w:firstLine="663" w:firstLineChars="200"/>
        <w:contextualSpacing/>
        <w:jc w:val="both"/>
        <w:textAlignment w:val="auto"/>
        <w:outlineLvl w:val="9"/>
        <w:rPr>
          <w:rFonts w:hint="default" w:ascii="Times New Roman" w:hAnsi="Times New Roman" w:eastAsia="楷体_GB2312" w:cs="Times New Roman"/>
          <w:b/>
          <w:bCs/>
          <w:color w:val="000000"/>
          <w:kern w:val="0"/>
          <w:sz w:val="33"/>
          <w:szCs w:val="33"/>
          <w:highlight w:val="none"/>
          <w:shd w:val="clear" w:color="auto" w:fill="FFFFFF"/>
          <w:lang w:val="zh-CN" w:eastAsia="zh-CN"/>
        </w:rPr>
      </w:pPr>
      <w:r>
        <w:rPr>
          <w:rFonts w:hint="default" w:ascii="Times New Roman" w:hAnsi="Times New Roman" w:eastAsia="楷体_GB2312" w:cs="Times New Roman"/>
          <w:b/>
          <w:bCs/>
          <w:color w:val="000000"/>
          <w:kern w:val="0"/>
          <w:sz w:val="33"/>
          <w:szCs w:val="33"/>
          <w:highlight w:val="none"/>
          <w:shd w:val="clear" w:color="auto" w:fill="FFFFFF"/>
          <w:lang w:val="zh-CN"/>
        </w:rPr>
        <w:t>（</w:t>
      </w:r>
      <w:r>
        <w:rPr>
          <w:rFonts w:hint="eastAsia" w:ascii="Times New Roman" w:hAnsi="Times New Roman" w:eastAsia="楷体_GB2312" w:cs="Times New Roman"/>
          <w:b/>
          <w:bCs/>
          <w:color w:val="000000"/>
          <w:kern w:val="0"/>
          <w:sz w:val="33"/>
          <w:szCs w:val="33"/>
          <w:highlight w:val="none"/>
          <w:shd w:val="clear" w:color="auto" w:fill="FFFFFF"/>
          <w:lang w:val="zh-CN"/>
        </w:rPr>
        <w:t>三</w:t>
      </w:r>
      <w:r>
        <w:rPr>
          <w:rFonts w:hint="default" w:ascii="Times New Roman" w:hAnsi="Times New Roman" w:eastAsia="楷体_GB2312" w:cs="Times New Roman"/>
          <w:b/>
          <w:bCs/>
          <w:color w:val="000000"/>
          <w:kern w:val="0"/>
          <w:sz w:val="33"/>
          <w:szCs w:val="33"/>
          <w:highlight w:val="none"/>
          <w:shd w:val="clear" w:color="auto" w:fill="FFFFFF"/>
          <w:lang w:val="zh-CN"/>
        </w:rPr>
        <w:t>）</w:t>
      </w:r>
      <w:r>
        <w:rPr>
          <w:rFonts w:hint="default" w:ascii="Times New Roman" w:hAnsi="Times New Roman" w:eastAsia="楷体_GB2312" w:cs="Times New Roman"/>
          <w:b/>
          <w:bCs/>
          <w:color w:val="000000"/>
          <w:kern w:val="0"/>
          <w:sz w:val="33"/>
          <w:szCs w:val="33"/>
          <w:highlight w:val="none"/>
          <w:shd w:val="clear" w:color="auto" w:fill="FFFFFF"/>
          <w:lang w:val="zh-CN" w:eastAsia="zh-CN"/>
        </w:rPr>
        <w:t>重点领域</w:t>
      </w:r>
      <w:r>
        <w:rPr>
          <w:rFonts w:hint="default" w:ascii="Times New Roman" w:hAnsi="Times New Roman" w:eastAsia="楷体_GB2312" w:cs="Times New Roman"/>
          <w:b/>
          <w:bCs/>
          <w:color w:val="000000"/>
          <w:kern w:val="0"/>
          <w:sz w:val="33"/>
          <w:szCs w:val="33"/>
          <w:highlight w:val="none"/>
          <w:shd w:val="clear" w:color="auto" w:fill="FFFFFF"/>
          <w:lang w:val="zh-CN"/>
        </w:rPr>
        <w:t>绩效分析</w:t>
      </w:r>
      <w:r>
        <w:rPr>
          <w:rFonts w:hint="default" w:ascii="Times New Roman" w:hAnsi="Times New Roman" w:eastAsia="楷体_GB2312" w:cs="Times New Roman"/>
          <w:b/>
          <w:bCs/>
          <w:color w:val="000000"/>
          <w:kern w:val="0"/>
          <w:sz w:val="33"/>
          <w:szCs w:val="33"/>
          <w:highlight w:val="none"/>
          <w:shd w:val="clear" w:color="auto" w:fill="FFFFFF"/>
          <w:lang w:val="zh-CN" w:eastAsia="zh-CN"/>
        </w:rPr>
        <w:t>。</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contextualSpacing/>
        <w:jc w:val="both"/>
        <w:textAlignment w:val="auto"/>
        <w:outlineLvl w:val="9"/>
        <w:rPr>
          <w:rFonts w:hint="default"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zh-CN" w:eastAsia="zh-CN" w:bidi="ar-SA"/>
        </w:rPr>
        <w:t>市土地储备中心为南坝机场土地收储项目分三批次申请发行土地储备专项债券共计6.6亿元，根据《2018年四川省地方政府债券资金转贷协议》和《2019年四川省地方政府债券资金转贷协议》约定，202</w:t>
      </w:r>
      <w:r>
        <w:rPr>
          <w:rFonts w:hint="eastAsia" w:ascii="仿宋_GB2312" w:hAnsi="仿宋_GB2312" w:eastAsia="仿宋_GB2312" w:cs="仿宋_GB2312"/>
          <w:b w:val="0"/>
          <w:kern w:val="2"/>
          <w:sz w:val="32"/>
          <w:szCs w:val="32"/>
          <w:lang w:val="en-US" w:eastAsia="zh-CN" w:bidi="ar-SA"/>
        </w:rPr>
        <w:t>4</w:t>
      </w:r>
      <w:r>
        <w:rPr>
          <w:rFonts w:hint="eastAsia" w:ascii="仿宋_GB2312" w:hAnsi="仿宋_GB2312" w:eastAsia="仿宋_GB2312" w:cs="仿宋_GB2312"/>
          <w:b w:val="0"/>
          <w:kern w:val="2"/>
          <w:sz w:val="32"/>
          <w:szCs w:val="32"/>
          <w:lang w:val="zh-CN" w:eastAsia="zh-CN" w:bidi="ar-SA"/>
        </w:rPr>
        <w:t>年应支付专项债券利息及还息手续费共计</w:t>
      </w:r>
      <w:r>
        <w:rPr>
          <w:rFonts w:hint="eastAsia" w:ascii="仿宋_GB2312" w:hAnsi="仿宋_GB2312" w:eastAsia="仿宋_GB2312" w:cs="仿宋_GB2312"/>
          <w:b w:val="0"/>
          <w:kern w:val="2"/>
          <w:sz w:val="32"/>
          <w:szCs w:val="32"/>
          <w:lang w:val="en-US" w:eastAsia="zh-CN" w:bidi="ar-SA"/>
        </w:rPr>
        <w:t>1818.04</w:t>
      </w:r>
      <w:r>
        <w:rPr>
          <w:rFonts w:hint="eastAsia" w:ascii="仿宋_GB2312" w:hAnsi="仿宋_GB2312" w:eastAsia="仿宋_GB2312" w:cs="仿宋_GB2312"/>
          <w:b w:val="0"/>
          <w:kern w:val="2"/>
          <w:sz w:val="32"/>
          <w:szCs w:val="32"/>
          <w:lang w:val="zh-CN" w:eastAsia="zh-CN" w:bidi="ar-SA"/>
        </w:rPr>
        <w:t>万元。并根据政府债券相关文件规定，市土地储备中心</w:t>
      </w:r>
      <w:r>
        <w:rPr>
          <w:rFonts w:hint="eastAsia" w:ascii="仿宋_GB2312" w:hAnsi="仿宋_GB2312" w:eastAsia="仿宋_GB2312" w:cs="仿宋_GB2312"/>
          <w:b w:val="0"/>
          <w:kern w:val="2"/>
          <w:sz w:val="32"/>
          <w:szCs w:val="32"/>
          <w:lang w:val="en-US" w:eastAsia="zh-CN" w:bidi="ar-SA"/>
        </w:rPr>
        <w:t>2024年应上缴政府债券发行费用20.58万元。截止2024年底</w:t>
      </w:r>
      <w:r>
        <w:rPr>
          <w:rFonts w:hint="eastAsia" w:ascii="仿宋_GB2312" w:hAnsi="仿宋_GB2312" w:eastAsia="仿宋_GB2312" w:cs="仿宋_GB2312"/>
          <w:b w:val="0"/>
          <w:kern w:val="2"/>
          <w:sz w:val="32"/>
          <w:szCs w:val="32"/>
          <w:lang w:val="zh-CN" w:eastAsia="zh-CN" w:bidi="ar-SA"/>
        </w:rPr>
        <w:t>专项债券利息及还息手续费、</w:t>
      </w:r>
      <w:r>
        <w:rPr>
          <w:rFonts w:hint="eastAsia" w:ascii="仿宋_GB2312" w:hAnsi="仿宋_GB2312" w:eastAsia="仿宋_GB2312" w:cs="仿宋_GB2312"/>
          <w:b w:val="0"/>
          <w:kern w:val="2"/>
          <w:sz w:val="32"/>
          <w:szCs w:val="32"/>
          <w:lang w:val="en-US" w:eastAsia="zh-CN" w:bidi="ar-SA"/>
        </w:rPr>
        <w:t>政府债券发行费用均已上缴。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63" w:firstLineChars="200"/>
        <w:jc w:val="both"/>
        <w:textAlignment w:val="auto"/>
        <w:rPr>
          <w:rFonts w:hint="eastAsia" w:ascii="Times New Roman" w:hAnsi="Times New Roman" w:eastAsia="楷体_GB2312" w:cs="Times New Roman"/>
          <w:b/>
          <w:bCs/>
          <w:sz w:val="33"/>
          <w:szCs w:val="33"/>
          <w:lang w:val="zh-CN"/>
        </w:rPr>
      </w:pPr>
      <w:r>
        <w:rPr>
          <w:rFonts w:hint="default" w:ascii="Times New Roman" w:hAnsi="Times New Roman" w:eastAsia="楷体_GB2312" w:cs="Times New Roman"/>
          <w:b/>
          <w:bCs/>
          <w:sz w:val="33"/>
          <w:szCs w:val="33"/>
          <w:lang w:val="zh-CN"/>
        </w:rPr>
        <w:t>（四）绩效结果应用情况</w:t>
      </w:r>
      <w:r>
        <w:rPr>
          <w:rFonts w:hint="eastAsia" w:ascii="Times New Roman" w:hAnsi="Times New Roman" w:eastAsia="楷体_GB2312" w:cs="Times New Roman"/>
          <w:b/>
          <w:bCs/>
          <w:sz w:val="33"/>
          <w:szCs w:val="33"/>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仿宋_GB2312"/>
          <w:b/>
          <w:bCs w:val="0"/>
          <w:sz w:val="33"/>
          <w:szCs w:val="33"/>
        </w:rPr>
      </w:pPr>
      <w:r>
        <w:rPr>
          <w:rFonts w:hint="eastAsia" w:ascii="仿宋_GB2312" w:hAnsi="仿宋_GB2312" w:eastAsia="仿宋_GB2312" w:cs="仿宋_GB2312"/>
          <w:b w:val="0"/>
          <w:kern w:val="2"/>
          <w:sz w:val="32"/>
          <w:szCs w:val="32"/>
          <w:lang w:val="zh-CN" w:eastAsia="zh-CN" w:bidi="ar-SA"/>
        </w:rPr>
        <w:t>按照遂财绩</w:t>
      </w:r>
      <w:r>
        <w:rPr>
          <w:rFonts w:hint="eastAsia" w:ascii="宋体" w:hAnsi="宋体" w:eastAsia="宋体" w:cs="宋体"/>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2024</w:t>
      </w:r>
      <w:r>
        <w:rPr>
          <w:rFonts w:hint="eastAsia" w:ascii="宋体" w:hAnsi="宋体" w:eastAsia="宋体" w:cs="宋体"/>
          <w:b w:val="0"/>
          <w:kern w:val="2"/>
          <w:sz w:val="32"/>
          <w:szCs w:val="32"/>
          <w:lang w:val="zh-CN" w:eastAsia="zh-CN" w:bidi="ar-SA"/>
        </w:rPr>
        <w:t>〕</w:t>
      </w:r>
      <w:r>
        <w:rPr>
          <w:rFonts w:hint="eastAsia" w:ascii="仿宋_GB2312" w:hAnsi="仿宋_GB2312" w:eastAsia="仿宋_GB2312" w:cs="仿宋_GB2312"/>
          <w:b w:val="0"/>
          <w:kern w:val="2"/>
          <w:sz w:val="32"/>
          <w:szCs w:val="32"/>
          <w:lang w:val="zh-CN" w:eastAsia="zh-CN" w:bidi="ar-SA"/>
        </w:rPr>
        <w:t>9号《关于开展2024年度绩效监控工作的通知》。2024年本部门绩效监控运行自查中，</w:t>
      </w:r>
      <w:r>
        <w:rPr>
          <w:rFonts w:hint="eastAsia" w:ascii="仿宋_GB2312" w:hAnsi="仿宋_GB2312" w:cs="仿宋_GB2312"/>
          <w:b w:val="0"/>
          <w:kern w:val="2"/>
          <w:sz w:val="32"/>
          <w:szCs w:val="32"/>
          <w:lang w:val="zh-CN" w:eastAsia="zh-CN" w:bidi="ar-SA"/>
        </w:rPr>
        <w:t>未</w:t>
      </w:r>
      <w:r>
        <w:rPr>
          <w:rFonts w:hint="eastAsia" w:ascii="仿宋_GB2312" w:hAnsi="仿宋_GB2312" w:eastAsia="仿宋_GB2312" w:cs="仿宋_GB2312"/>
          <w:b w:val="0"/>
          <w:kern w:val="2"/>
          <w:sz w:val="32"/>
          <w:szCs w:val="32"/>
          <w:lang w:val="zh-CN" w:eastAsia="zh-CN" w:bidi="ar-SA"/>
        </w:rPr>
        <w:t>发现项目与预算执行不符合实际</w:t>
      </w:r>
      <w:r>
        <w:rPr>
          <w:rFonts w:hint="eastAsia" w:ascii="仿宋_GB2312" w:hAnsi="仿宋_GB2312" w:cs="仿宋_GB2312"/>
          <w:b w:val="0"/>
          <w:kern w:val="2"/>
          <w:sz w:val="32"/>
          <w:szCs w:val="32"/>
          <w:lang w:val="zh-CN" w:eastAsia="zh-CN" w:bidi="ar-SA"/>
        </w:rPr>
        <w:t>情况</w:t>
      </w:r>
      <w:r>
        <w:rPr>
          <w:rFonts w:hint="eastAsia" w:ascii="仿宋_GB2312" w:hAnsi="仿宋_GB2312" w:eastAsia="仿宋_GB2312" w:cs="仿宋_GB2312"/>
          <w:b w:val="0"/>
          <w:kern w:val="2"/>
          <w:sz w:val="32"/>
          <w:szCs w:val="32"/>
          <w:lang w:val="zh-CN" w:eastAsia="zh-CN" w:bidi="ar-SA"/>
        </w:rPr>
        <w:t>。此项不涉及扣分。</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60" w:firstLineChars="200"/>
        <w:contextualSpacing/>
        <w:jc w:val="both"/>
        <w:textAlignment w:val="auto"/>
        <w:outlineLvl w:val="9"/>
        <w:rPr>
          <w:rFonts w:hint="default" w:ascii="Times New Roman" w:hAnsi="Times New Roman" w:eastAsia="黑体" w:cs="Times New Roman"/>
          <w:color w:val="000000"/>
          <w:kern w:val="0"/>
          <w:sz w:val="33"/>
          <w:szCs w:val="33"/>
          <w:highlight w:val="none"/>
          <w:shd w:val="clear" w:color="auto" w:fill="FFFFFF"/>
        </w:rPr>
      </w:pPr>
      <w:r>
        <w:rPr>
          <w:rFonts w:hint="default" w:ascii="Times New Roman" w:hAnsi="Times New Roman" w:eastAsia="黑体" w:cs="Times New Roman"/>
          <w:color w:val="000000"/>
          <w:kern w:val="0"/>
          <w:sz w:val="33"/>
          <w:szCs w:val="33"/>
          <w:highlight w:val="none"/>
          <w:shd w:val="clear" w:color="auto" w:fill="FFFFFF"/>
          <w:lang w:eastAsia="zh-CN"/>
        </w:rPr>
        <w:t>四、</w:t>
      </w:r>
      <w:r>
        <w:rPr>
          <w:rFonts w:hint="default" w:ascii="Times New Roman" w:hAnsi="Times New Roman" w:eastAsia="黑体" w:cs="Times New Roman"/>
          <w:color w:val="000000"/>
          <w:kern w:val="0"/>
          <w:sz w:val="33"/>
          <w:szCs w:val="33"/>
          <w:highlight w:val="none"/>
          <w:shd w:val="clear" w:color="auto" w:fill="FFFFFF"/>
        </w:rPr>
        <w:t>评价结论及建议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63" w:firstLineChars="200"/>
        <w:contextualSpacing/>
        <w:jc w:val="both"/>
        <w:textAlignment w:val="auto"/>
        <w:outlineLvl w:val="9"/>
        <w:rPr>
          <w:rFonts w:hint="default" w:ascii="Times New Roman" w:hAnsi="Times New Roman" w:eastAsia="楷体_GB2312" w:cs="Times New Roman"/>
          <w:b/>
          <w:bCs/>
          <w:color w:val="000000"/>
          <w:kern w:val="0"/>
          <w:sz w:val="33"/>
          <w:szCs w:val="33"/>
          <w:highlight w:val="none"/>
          <w:shd w:val="clear" w:color="auto" w:fill="FFFFFF"/>
          <w:lang w:val="zh-CN"/>
        </w:rPr>
      </w:pPr>
      <w:r>
        <w:rPr>
          <w:rFonts w:hint="default" w:ascii="Times New Roman" w:hAnsi="Times New Roman" w:eastAsia="楷体_GB2312" w:cs="Times New Roman"/>
          <w:b/>
          <w:bCs/>
          <w:color w:val="000000"/>
          <w:kern w:val="0"/>
          <w:sz w:val="33"/>
          <w:szCs w:val="33"/>
          <w:highlight w:val="none"/>
          <w:shd w:val="clear" w:color="auto" w:fill="FFFFFF"/>
          <w:lang w:val="zh-CN"/>
        </w:rPr>
        <w:t>（一）评价结论。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contextualSpacing/>
        <w:jc w:val="both"/>
        <w:textAlignment w:val="auto"/>
        <w:outlineLvl w:val="9"/>
        <w:rPr>
          <w:rFonts w:hint="default" w:ascii="Times New Roman" w:hAnsi="Times New Roman" w:eastAsia="楷体_GB2312" w:cs="Times New Roman"/>
          <w:b/>
          <w:bCs/>
          <w:color w:val="000000"/>
          <w:kern w:val="0"/>
          <w:sz w:val="33"/>
          <w:szCs w:val="33"/>
          <w:highlight w:val="none"/>
          <w:shd w:val="clear" w:color="auto" w:fill="FFFFFF"/>
          <w:lang w:val="en-US"/>
        </w:rPr>
      </w:pPr>
      <w:r>
        <w:rPr>
          <w:rFonts w:hint="eastAsia" w:ascii="仿宋_GB2312" w:hAnsi="仿宋_GB2312" w:eastAsia="仿宋_GB2312" w:cs="仿宋_GB2312"/>
          <w:b w:val="0"/>
          <w:kern w:val="2"/>
          <w:sz w:val="32"/>
          <w:szCs w:val="32"/>
          <w:lang w:val="en-US" w:eastAsia="zh-CN" w:bidi="ar-SA"/>
        </w:rPr>
        <w:t>本单位2024年度部门整体预算管理规范、一般性支出控制良好。但存在资产管理不规范、办公家具利用率0%、办公设备利用率84.1%、年终预算结余率0.12</w:t>
      </w:r>
      <w:r>
        <w:rPr>
          <w:rFonts w:hint="eastAsia" w:ascii="仿宋_GB2312" w:hAnsi="仿宋_GB2312" w:cs="仿宋_GB2312"/>
          <w:b w:val="0"/>
          <w:kern w:val="2"/>
          <w:sz w:val="32"/>
          <w:szCs w:val="32"/>
          <w:lang w:val="en-US" w:eastAsia="zh-CN" w:bidi="ar-SA"/>
        </w:rPr>
        <w:t>%</w:t>
      </w:r>
      <w:r>
        <w:rPr>
          <w:rFonts w:hint="eastAsia" w:ascii="仿宋_GB2312" w:hAnsi="仿宋_GB2312" w:eastAsia="仿宋_GB2312" w:cs="仿宋_GB2312"/>
          <w:b w:val="0"/>
          <w:kern w:val="2"/>
          <w:sz w:val="32"/>
          <w:szCs w:val="32"/>
          <w:lang w:val="en-US" w:eastAsia="zh-CN" w:bidi="ar-SA"/>
        </w:rPr>
        <w:t>、人均资产变化率-26.71%等问题，总得分为</w:t>
      </w:r>
      <w:r>
        <w:rPr>
          <w:rFonts w:hint="eastAsia" w:ascii="仿宋_GB2312" w:hAnsi="仿宋_GB2312" w:cs="仿宋_GB2312"/>
          <w:b w:val="0"/>
          <w:kern w:val="2"/>
          <w:sz w:val="32"/>
          <w:szCs w:val="32"/>
          <w:lang w:val="en-US" w:eastAsia="zh-CN" w:bidi="ar-SA"/>
        </w:rPr>
        <w:t>95.99</w:t>
      </w:r>
      <w:r>
        <w:rPr>
          <w:rFonts w:hint="eastAsia" w:ascii="仿宋_GB2312" w:hAnsi="仿宋_GB2312" w:eastAsia="仿宋_GB2312" w:cs="仿宋_GB2312"/>
          <w:b w:val="0"/>
          <w:kern w:val="2"/>
          <w:sz w:val="32"/>
          <w:szCs w:val="32"/>
          <w:lang w:val="en-US" w:eastAsia="zh-CN" w:bidi="ar-SA"/>
        </w:rPr>
        <w:t>分。</w:t>
      </w:r>
    </w:p>
    <w:p>
      <w:pPr>
        <w:widowControl/>
        <w:adjustRightInd w:val="0"/>
        <w:snapToGrid w:val="0"/>
        <w:spacing w:line="620" w:lineRule="exact"/>
        <w:ind w:firstLine="663" w:firstLineChars="200"/>
        <w:contextualSpacing/>
        <w:jc w:val="left"/>
        <w:rPr>
          <w:rFonts w:hint="default" w:ascii="Times New Roman" w:hAnsi="Times New Roman" w:eastAsia="楷体_GB2312" w:cs="Times New Roman"/>
          <w:b/>
          <w:bCs/>
          <w:color w:val="000000"/>
          <w:kern w:val="0"/>
          <w:sz w:val="33"/>
          <w:szCs w:val="33"/>
          <w:highlight w:val="none"/>
          <w:shd w:val="clear" w:color="auto" w:fill="FFFFFF"/>
          <w:lang w:val="zh-CN"/>
        </w:rPr>
      </w:pPr>
      <w:r>
        <w:rPr>
          <w:rFonts w:hint="default" w:ascii="Times New Roman" w:hAnsi="Times New Roman" w:eastAsia="楷体_GB2312" w:cs="Times New Roman"/>
          <w:b/>
          <w:bCs/>
          <w:color w:val="000000"/>
          <w:kern w:val="0"/>
          <w:sz w:val="33"/>
          <w:szCs w:val="33"/>
          <w:highlight w:val="none"/>
          <w:shd w:val="clear" w:color="auto" w:fill="FFFFFF"/>
          <w:lang w:val="zh-CN"/>
        </w:rPr>
        <w:t>（二）存在问题。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contextualSpacing/>
        <w:jc w:val="both"/>
        <w:textAlignment w:val="auto"/>
        <w:outlineLvl w:val="9"/>
        <w:rPr>
          <w:rFonts w:hint="eastAsia" w:ascii="Times New Roman" w:hAnsi="Times New Roman" w:cs="Times New Roman"/>
          <w:color w:val="000000"/>
          <w:kern w:val="0"/>
          <w:szCs w:val="32"/>
          <w:shd w:val="clear" w:color="auto" w:fill="FFFFFF"/>
          <w:lang w:val="zh-CN"/>
        </w:rPr>
      </w:pPr>
      <w:r>
        <w:rPr>
          <w:rFonts w:hint="eastAsia" w:ascii="仿宋_GB2312" w:hAnsi="仿宋_GB2312" w:eastAsia="仿宋_GB2312" w:cs="仿宋_GB2312"/>
          <w:b w:val="0"/>
          <w:kern w:val="2"/>
          <w:sz w:val="32"/>
          <w:szCs w:val="32"/>
          <w:lang w:val="zh-CN" w:eastAsia="zh-CN" w:bidi="ar-SA"/>
        </w:rPr>
        <w:t>一是</w:t>
      </w:r>
      <w:r>
        <w:rPr>
          <w:rFonts w:hint="eastAsia" w:ascii="仿宋_GB2312" w:hAnsi="仿宋_GB2312" w:eastAsia="仿宋_GB2312" w:cs="仿宋_GB2312"/>
          <w:b w:val="0"/>
          <w:kern w:val="2"/>
          <w:sz w:val="32"/>
          <w:szCs w:val="32"/>
          <w:lang w:val="en-US" w:eastAsia="zh-CN" w:bidi="ar-SA"/>
        </w:rPr>
        <w:t>本单位</w:t>
      </w:r>
      <w:r>
        <w:rPr>
          <w:rFonts w:hint="eastAsia" w:ascii="仿宋_GB2312" w:hAnsi="仿宋_GB2312" w:cs="仿宋_GB2312"/>
          <w:b w:val="0"/>
          <w:kern w:val="2"/>
          <w:sz w:val="32"/>
          <w:szCs w:val="32"/>
          <w:lang w:val="en-US" w:eastAsia="zh-CN" w:bidi="ar-SA"/>
        </w:rPr>
        <w:t>年初预算编制的科学性和准确性有待提高，</w:t>
      </w:r>
      <w:r>
        <w:rPr>
          <w:rFonts w:hint="eastAsia"/>
          <w:color w:val="000000"/>
          <w:kern w:val="0"/>
          <w:szCs w:val="32"/>
          <w:shd w:val="clear" w:color="auto" w:fill="FFFFFF"/>
          <w:lang w:val="zh-CN"/>
        </w:rPr>
        <w:t>主要原因</w:t>
      </w:r>
      <w:r>
        <w:rPr>
          <w:rFonts w:hint="eastAsia" w:ascii="仿宋_GB2312" w:hAnsi="宋体" w:cs="宋体"/>
          <w:color w:val="000000"/>
          <w:kern w:val="0"/>
          <w:szCs w:val="32"/>
          <w:shd w:val="clear" w:color="auto" w:fill="FFFFFF"/>
          <w:lang w:val="zh-CN"/>
        </w:rPr>
        <w:t>是中心大部分专项都是年中追加的财政共同专项</w:t>
      </w:r>
      <w:r>
        <w:rPr>
          <w:rFonts w:hint="eastAsia" w:ascii="Times New Roman" w:hAnsi="Times New Roman" w:cs="Times New Roman"/>
          <w:color w:val="000000"/>
          <w:kern w:val="0"/>
          <w:szCs w:val="32"/>
          <w:shd w:val="clear" w:color="auto" w:fill="FFFFFF"/>
          <w:lang w:val="zh-CN"/>
        </w:rPr>
        <w:t>。二是</w:t>
      </w:r>
      <w:r>
        <w:rPr>
          <w:rFonts w:hint="eastAsia" w:ascii="Times New Roman" w:hAnsi="Times New Roman" w:cs="Times New Roman"/>
          <w:color w:val="000000"/>
          <w:kern w:val="0"/>
          <w:szCs w:val="32"/>
          <w:shd w:val="clear" w:color="auto" w:fill="FFFFFF"/>
          <w:lang w:val="en-US" w:eastAsia="zh-CN"/>
        </w:rPr>
        <w:t>绩效评价待进一步精细化。</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63" w:firstLineChars="200"/>
        <w:contextualSpacing/>
        <w:jc w:val="both"/>
        <w:textAlignment w:val="auto"/>
        <w:outlineLvl w:val="9"/>
        <w:rPr>
          <w:rFonts w:hint="default" w:ascii="Times New Roman" w:hAnsi="Times New Roman" w:eastAsia="楷体_GB2312" w:cs="Times New Roman"/>
          <w:b/>
          <w:bCs/>
          <w:color w:val="000000"/>
          <w:kern w:val="0"/>
          <w:sz w:val="33"/>
          <w:szCs w:val="33"/>
          <w:highlight w:val="none"/>
          <w:shd w:val="clear" w:color="auto" w:fill="FFFFFF"/>
          <w:lang w:val="zh-CN" w:eastAsia="zh-CN"/>
        </w:rPr>
      </w:pPr>
      <w:r>
        <w:rPr>
          <w:rFonts w:hint="default" w:ascii="Times New Roman" w:hAnsi="Times New Roman" w:eastAsia="楷体_GB2312" w:cs="Times New Roman"/>
          <w:b/>
          <w:bCs/>
          <w:color w:val="000000"/>
          <w:kern w:val="0"/>
          <w:sz w:val="33"/>
          <w:szCs w:val="33"/>
          <w:highlight w:val="none"/>
          <w:shd w:val="clear" w:color="auto" w:fill="FFFFFF"/>
          <w:lang w:val="zh-CN" w:eastAsia="zh-CN"/>
        </w:rPr>
        <w:t>（三）改进建议。</w:t>
      </w:r>
      <w:bookmarkStart w:id="0" w:name="_Hlk110546638"/>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contextualSpacing/>
        <w:jc w:val="both"/>
        <w:textAlignment w:val="auto"/>
        <w:outlineLvl w:val="9"/>
        <w:rPr>
          <w:rFonts w:hint="default" w:ascii="Times New Roman" w:hAnsi="Times New Roman" w:eastAsia="黑体" w:cs="Times New Roman"/>
          <w:sz w:val="33"/>
          <w:szCs w:val="33"/>
          <w:highlight w:val="none"/>
          <w:lang w:val="en-US" w:eastAsia="zh-CN"/>
        </w:rPr>
      </w:pPr>
      <w:r>
        <w:rPr>
          <w:rFonts w:hint="eastAsia" w:ascii="仿宋_GB2312" w:hAnsi="仿宋_GB2312" w:cs="仿宋_GB2312"/>
          <w:b w:val="0"/>
          <w:kern w:val="2"/>
          <w:sz w:val="32"/>
          <w:szCs w:val="32"/>
          <w:lang w:val="zh-CN" w:eastAsia="zh-CN" w:bidi="ar-SA"/>
        </w:rPr>
        <w:t>一是强化预算执行，加快项目实施进度，不断提高资金支付率，确保项目有序开展。二是加强项目资金管理，严格实行项目管理程序化，实现项目申报、实施、拨付、评价全流程监督与控制，规范专项资金管理，提高专项资金的使用效益。</w:t>
      </w:r>
      <w:bookmarkEnd w:id="0"/>
    </w:p>
    <w:p>
      <w:pPr>
        <w:keepNext w:val="0"/>
        <w:keepLines w:val="0"/>
        <w:pageBreakBefore w:val="0"/>
        <w:kinsoku/>
        <w:wordWrap/>
        <w:overflowPunct/>
        <w:topLinePunct w:val="0"/>
        <w:autoSpaceDE/>
        <w:autoSpaceDN/>
        <w:bidi w:val="0"/>
        <w:adjustRightInd/>
        <w:snapToGrid/>
        <w:spacing w:line="590" w:lineRule="exact"/>
        <w:ind w:left="0" w:leftChars="0" w:right="0" w:rightChars="0" w:firstLine="640" w:firstLineChars="200"/>
        <w:jc w:val="both"/>
        <w:textAlignment w:val="auto"/>
        <w:rPr>
          <w:rFonts w:hint="default" w:ascii="仿宋_GB2312" w:hAnsi="仿宋_GB2312" w:cs="仿宋_GB2312"/>
          <w:b w:val="0"/>
          <w:kern w:val="2"/>
          <w:sz w:val="32"/>
          <w:szCs w:val="32"/>
          <w:lang w:val="en-US" w:eastAsia="zh-CN" w:bidi="ar-SA"/>
        </w:rPr>
      </w:pPr>
      <w:r>
        <w:rPr>
          <w:rFonts w:hint="eastAsia" w:ascii="仿宋_GB2312" w:hAnsi="仿宋_GB2312" w:cs="仿宋_GB2312"/>
          <w:b w:val="0"/>
          <w:kern w:val="2"/>
          <w:sz w:val="32"/>
          <w:szCs w:val="32"/>
          <w:lang w:val="en-US" w:eastAsia="zh-CN" w:bidi="ar-SA"/>
        </w:rPr>
        <w:t>附表：1.</w:t>
      </w:r>
      <w:r>
        <w:rPr>
          <w:rFonts w:hint="default" w:ascii="仿宋_GB2312" w:hAnsi="仿宋_GB2312" w:cs="仿宋_GB2312"/>
          <w:b w:val="0"/>
          <w:kern w:val="2"/>
          <w:sz w:val="32"/>
          <w:szCs w:val="32"/>
          <w:lang w:val="en-US" w:eastAsia="zh-CN" w:bidi="ar-SA"/>
        </w:rPr>
        <w:t>部门整体支出绩效目标完成情况自评表</w:t>
      </w:r>
    </w:p>
    <w:p>
      <w:pPr>
        <w:keepNext w:val="0"/>
        <w:keepLines w:val="0"/>
        <w:pageBreakBefore w:val="0"/>
        <w:numPr>
          <w:ilvl w:val="0"/>
          <w:numId w:val="0"/>
        </w:numPr>
        <w:kinsoku/>
        <w:wordWrap/>
        <w:overflowPunct/>
        <w:topLinePunct w:val="0"/>
        <w:autoSpaceDE/>
        <w:autoSpaceDN/>
        <w:bidi w:val="0"/>
        <w:adjustRightInd/>
        <w:snapToGrid/>
        <w:spacing w:line="590" w:lineRule="exact"/>
        <w:ind w:leftChars="200" w:right="0" w:rightChars="0"/>
        <w:jc w:val="both"/>
        <w:textAlignment w:val="auto"/>
        <w:rPr>
          <w:rFonts w:hint="eastAsia" w:ascii="仿宋_GB2312" w:hAnsi="仿宋_GB2312" w:cs="仿宋_GB2312"/>
          <w:b w:val="0"/>
          <w:kern w:val="2"/>
          <w:sz w:val="32"/>
          <w:szCs w:val="32"/>
          <w:lang w:val="en-US" w:eastAsia="zh-CN" w:bidi="ar-SA"/>
        </w:rPr>
      </w:pPr>
      <w:r>
        <w:rPr>
          <w:rFonts w:hint="eastAsia" w:ascii="仿宋_GB2312" w:hAnsi="仿宋_GB2312" w:cs="仿宋_GB2312"/>
          <w:b w:val="0"/>
          <w:kern w:val="2"/>
          <w:sz w:val="32"/>
          <w:szCs w:val="32"/>
          <w:lang w:val="en-US" w:eastAsia="zh-CN" w:bidi="ar-SA"/>
        </w:rPr>
        <w:t>2.部门整体支出绩效自评打分表</w:t>
      </w:r>
    </w:p>
    <w:p>
      <w:pPr>
        <w:keepNext w:val="0"/>
        <w:keepLines w:val="0"/>
        <w:pageBreakBefore w:val="0"/>
        <w:numPr>
          <w:ilvl w:val="0"/>
          <w:numId w:val="0"/>
        </w:numPr>
        <w:kinsoku/>
        <w:wordWrap/>
        <w:overflowPunct/>
        <w:topLinePunct w:val="0"/>
        <w:autoSpaceDE/>
        <w:autoSpaceDN/>
        <w:bidi w:val="0"/>
        <w:adjustRightInd/>
        <w:snapToGrid/>
        <w:spacing w:line="590" w:lineRule="exact"/>
        <w:ind w:leftChars="200" w:right="0" w:rightChars="0"/>
        <w:jc w:val="both"/>
        <w:textAlignment w:val="auto"/>
        <w:rPr>
          <w:rFonts w:hint="eastAsia" w:ascii="仿宋_GB2312" w:hAnsi="仿宋_GB2312" w:cs="仿宋_GB2312"/>
          <w:b w:val="0"/>
          <w:kern w:val="2"/>
          <w:sz w:val="32"/>
          <w:szCs w:val="32"/>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590" w:lineRule="exact"/>
        <w:ind w:leftChars="200" w:right="0" w:rightChars="0"/>
        <w:jc w:val="both"/>
        <w:textAlignment w:val="auto"/>
        <w:rPr>
          <w:rFonts w:hint="eastAsia" w:ascii="仿宋_GB2312" w:hAnsi="仿宋_GB2312" w:cs="仿宋_GB2312"/>
          <w:b w:val="0"/>
          <w:kern w:val="2"/>
          <w:sz w:val="32"/>
          <w:szCs w:val="32"/>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590" w:lineRule="exact"/>
        <w:ind w:leftChars="200" w:right="0" w:rightChars="0"/>
        <w:jc w:val="right"/>
        <w:textAlignment w:val="auto"/>
        <w:rPr>
          <w:rFonts w:hint="eastAsia" w:ascii="仿宋_GB2312" w:hAnsi="仿宋_GB2312" w:cs="仿宋_GB2312"/>
          <w:b w:val="0"/>
          <w:kern w:val="2"/>
          <w:sz w:val="32"/>
          <w:szCs w:val="32"/>
          <w:lang w:val="en-US" w:eastAsia="zh-CN" w:bidi="ar-SA"/>
        </w:rPr>
      </w:pPr>
      <w:r>
        <w:rPr>
          <w:rFonts w:hint="eastAsia" w:ascii="仿宋_GB2312" w:hAnsi="仿宋_GB2312" w:cs="仿宋_GB2312"/>
          <w:b w:val="0"/>
          <w:kern w:val="2"/>
          <w:sz w:val="32"/>
          <w:szCs w:val="32"/>
          <w:lang w:val="en-US" w:eastAsia="zh-CN" w:bidi="ar-SA"/>
        </w:rPr>
        <w:t>遂宁市土地储备中心</w:t>
      </w:r>
    </w:p>
    <w:p>
      <w:pPr>
        <w:keepNext w:val="0"/>
        <w:keepLines w:val="0"/>
        <w:pageBreakBefore w:val="0"/>
        <w:numPr>
          <w:ilvl w:val="0"/>
          <w:numId w:val="0"/>
        </w:numPr>
        <w:kinsoku/>
        <w:wordWrap/>
        <w:overflowPunct/>
        <w:topLinePunct w:val="0"/>
        <w:autoSpaceDE/>
        <w:autoSpaceDN/>
        <w:bidi w:val="0"/>
        <w:adjustRightInd/>
        <w:snapToGrid/>
        <w:spacing w:line="590" w:lineRule="exact"/>
        <w:ind w:leftChars="200" w:right="0" w:rightChars="0"/>
        <w:jc w:val="right"/>
        <w:textAlignment w:val="auto"/>
        <w:rPr>
          <w:rFonts w:hint="default" w:ascii="仿宋_GB2312" w:hAnsi="仿宋_GB2312" w:cs="仿宋_GB2312"/>
          <w:b w:val="0"/>
          <w:kern w:val="2"/>
          <w:sz w:val="32"/>
          <w:szCs w:val="32"/>
          <w:lang w:val="en-US" w:eastAsia="zh-CN" w:bidi="ar-SA"/>
        </w:rPr>
      </w:pPr>
      <w:r>
        <w:rPr>
          <w:rFonts w:hint="eastAsia" w:ascii="仿宋_GB2312" w:hAnsi="仿宋_GB2312" w:cs="仿宋_GB2312"/>
          <w:b w:val="0"/>
          <w:kern w:val="2"/>
          <w:sz w:val="32"/>
          <w:szCs w:val="32"/>
          <w:lang w:val="en-US" w:eastAsia="zh-CN" w:bidi="ar-SA"/>
        </w:rPr>
        <w:t>2025年5月  日</w:t>
      </w:r>
    </w:p>
    <w:p>
      <w:pPr>
        <w:keepNext w:val="0"/>
        <w:keepLines w:val="0"/>
        <w:pageBreakBefore w:val="0"/>
        <w:numPr>
          <w:ilvl w:val="0"/>
          <w:numId w:val="0"/>
        </w:numPr>
        <w:kinsoku/>
        <w:wordWrap/>
        <w:overflowPunct/>
        <w:topLinePunct w:val="0"/>
        <w:autoSpaceDE/>
        <w:autoSpaceDN/>
        <w:bidi w:val="0"/>
        <w:adjustRightInd/>
        <w:snapToGrid/>
        <w:spacing w:line="590" w:lineRule="exact"/>
        <w:ind w:right="0" w:rightChars="0"/>
        <w:jc w:val="both"/>
        <w:textAlignment w:val="auto"/>
        <w:rPr>
          <w:rFonts w:hint="default" w:ascii="Times New Roman" w:hAnsi="Times New Roman" w:eastAsia="仿宋_GB2312" w:cs="Times New Roman"/>
          <w:kern w:val="2"/>
          <w:sz w:val="32"/>
          <w:szCs w:val="24"/>
          <w:highlight w:val="none"/>
          <w:lang w:val="en-US" w:eastAsia="zh-CN" w:bidi="ar-SA"/>
        </w:rPr>
      </w:pPr>
      <w:r>
        <w:rPr>
          <w:rFonts w:hint="default" w:ascii="仿宋_GB2312" w:hAnsi="仿宋_GB2312" w:cs="仿宋_GB2312"/>
          <w:b w:val="0"/>
          <w:kern w:val="2"/>
          <w:sz w:val="32"/>
          <w:szCs w:val="32"/>
          <w:lang w:val="en-US" w:eastAsia="zh-CN" w:bidi="ar-SA"/>
        </w:rPr>
        <w:br w:type="page"/>
      </w:r>
      <w:r>
        <w:rPr>
          <w:rFonts w:hint="eastAsia" w:ascii="Times New Roman" w:hAnsi="Times New Roman" w:eastAsia="黑体" w:cs="黑体"/>
          <w:kern w:val="2"/>
          <w:sz w:val="32"/>
          <w:szCs w:val="24"/>
          <w:highlight w:val="none"/>
          <w:lang w:val="en-US" w:eastAsia="zh-CN" w:bidi="ar-SA"/>
        </w:rPr>
        <w:t>附表</w:t>
      </w:r>
      <w:r>
        <w:rPr>
          <w:rFonts w:hint="eastAsia" w:eastAsia="黑体" w:cs="黑体"/>
          <w:kern w:val="2"/>
          <w:sz w:val="32"/>
          <w:szCs w:val="24"/>
          <w:highlight w:val="none"/>
          <w:lang w:val="en-US" w:eastAsia="zh-CN" w:bidi="ar-SA"/>
        </w:rPr>
        <w:t>1</w:t>
      </w:r>
    </w:p>
    <w:tbl>
      <w:tblPr>
        <w:tblStyle w:val="12"/>
        <w:tblW w:w="105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22"/>
        <w:gridCol w:w="1106"/>
        <w:gridCol w:w="1125"/>
        <w:gridCol w:w="1837"/>
        <w:gridCol w:w="656"/>
        <w:gridCol w:w="1894"/>
        <w:gridCol w:w="769"/>
        <w:gridCol w:w="600"/>
        <w:gridCol w:w="13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62" w:hRule="exact"/>
          <w:jc w:val="center"/>
        </w:trPr>
        <w:tc>
          <w:tcPr>
            <w:tcW w:w="10560" w:type="dxa"/>
            <w:gridSpan w:val="9"/>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outlineLvl w:val="9"/>
              <w:rPr>
                <w:rFonts w:hint="default" w:ascii="Times New Roman" w:hAnsi="Times New Roman" w:eastAsia="黑体" w:cs="Times New Roman"/>
                <w:i w:val="0"/>
                <w:color w:val="000000"/>
                <w:sz w:val="28"/>
                <w:szCs w:val="28"/>
                <w:u w:val="none"/>
              </w:rPr>
            </w:pPr>
            <w:r>
              <w:rPr>
                <w:rFonts w:hint="default" w:ascii="Times New Roman" w:hAnsi="Times New Roman" w:eastAsia="方正小标宋简体" w:cs="Times New Roman"/>
                <w:i w:val="0"/>
                <w:color w:val="000000"/>
                <w:kern w:val="0"/>
                <w:sz w:val="44"/>
                <w:szCs w:val="44"/>
                <w:u w:val="none"/>
                <w:lang w:val="en-US" w:eastAsia="zh-CN" w:bidi="ar"/>
              </w:rPr>
              <w:t>部门整体支出绩效目标完成情况自评表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0560" w:type="dxa"/>
            <w:gridSpan w:val="9"/>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8"/>
                <w:szCs w:val="28"/>
                <w:u w:val="none"/>
              </w:rPr>
            </w:pPr>
            <w:r>
              <w:rPr>
                <w:rFonts w:hint="default" w:ascii="Times New Roman" w:hAnsi="Times New Roman" w:eastAsia="宋体" w:cs="Times New Roman"/>
                <w:i w:val="0"/>
                <w:color w:val="000000"/>
                <w:kern w:val="0"/>
                <w:sz w:val="28"/>
                <w:szCs w:val="28"/>
                <w:u w:val="none"/>
                <w:lang w:val="en-US" w:eastAsia="zh-CN" w:bidi="ar"/>
              </w:rPr>
              <w:t>（202</w:t>
            </w:r>
            <w:r>
              <w:rPr>
                <w:rFonts w:hint="eastAsia" w:eastAsia="宋体" w:cs="Times New Roman"/>
                <w:i w:val="0"/>
                <w:color w:val="000000"/>
                <w:kern w:val="0"/>
                <w:sz w:val="28"/>
                <w:szCs w:val="28"/>
                <w:u w:val="none"/>
                <w:lang w:val="en-US" w:eastAsia="zh-CN" w:bidi="ar"/>
              </w:rPr>
              <w:t>4</w:t>
            </w:r>
            <w:r>
              <w:rPr>
                <w:rFonts w:hint="default" w:ascii="Times New Roman" w:hAnsi="Times New Roman" w:eastAsia="宋体" w:cs="Times New Roman"/>
                <w:i w:val="0"/>
                <w:color w:val="000000"/>
                <w:kern w:val="0"/>
                <w:sz w:val="28"/>
                <w:szCs w:val="28"/>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0560" w:type="dxa"/>
            <w:gridSpan w:val="9"/>
            <w:tcBorders>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outlineLvl w:val="9"/>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34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部门名称</w:t>
            </w:r>
          </w:p>
        </w:tc>
        <w:tc>
          <w:tcPr>
            <w:tcW w:w="71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遂宁市土地储备中心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年度部门整体支出预算</w:t>
            </w:r>
          </w:p>
        </w:tc>
        <w:tc>
          <w:tcPr>
            <w:tcW w:w="2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资金总额</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财政拨款</w:t>
            </w:r>
          </w:p>
        </w:tc>
        <w:tc>
          <w:tcPr>
            <w:tcW w:w="46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4"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2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8417.16</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8417.16</w:t>
            </w:r>
          </w:p>
        </w:tc>
        <w:tc>
          <w:tcPr>
            <w:tcW w:w="46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年度总体</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目标</w:t>
            </w:r>
          </w:p>
        </w:tc>
        <w:tc>
          <w:tcPr>
            <w:tcW w:w="933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通过对储备土地巡查、维护、安全隐患消除等工作，达到储备土地有效管理，防止储备土地被非法侵占、破坏的工作目标。同时稳步推进土地储备监测监管系统维护工作。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年度主要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任务</w:t>
            </w:r>
          </w:p>
        </w:tc>
        <w:tc>
          <w:tcPr>
            <w:tcW w:w="2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任务名称</w:t>
            </w:r>
          </w:p>
        </w:tc>
        <w:tc>
          <w:tcPr>
            <w:tcW w:w="71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2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储备土地高质量管护及临时利用</w:t>
            </w:r>
          </w:p>
        </w:tc>
        <w:tc>
          <w:tcPr>
            <w:tcW w:w="71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按照《储备土地管理办法》规定，每月对所有储备土地进行常规巡查，对储备土地开展垃圾清理、围墙（栅栏）修缮、公告牌维护等工作。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2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土地储备监测监管系统维护</w:t>
            </w:r>
          </w:p>
        </w:tc>
        <w:tc>
          <w:tcPr>
            <w:tcW w:w="71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经办人员严格按照相关规定操作，对土地储备监测监管系统进行日常维护，定期对系统里面的数据进行必要的校准。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年度绩效</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指标</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一级指标</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二级指标</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三级指标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绩效指标</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性质</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绩效指标值</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绩效度量单位</w:t>
            </w:r>
          </w:p>
        </w:tc>
        <w:tc>
          <w:tcPr>
            <w:tcW w:w="600" w:type="dxa"/>
            <w:tcBorders>
              <w:top w:val="single" w:color="000000" w:sz="4" w:space="0"/>
              <w:left w:val="single" w:color="000000" w:sz="4" w:space="0"/>
              <w:bottom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权重</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实际完成</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产出指标</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数量指标</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储备土地巡查数量</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宗</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15</w:t>
            </w:r>
          </w:p>
        </w:tc>
        <w:tc>
          <w:tcPr>
            <w:tcW w:w="1351" w:type="dxa"/>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2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质量指标</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管护覆盖率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2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计划编制准确率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90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时效指标</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巡查工作及时率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95</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2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成本指标</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部门人员经费</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172.01</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5</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 xml:space="preserve">183.7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2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部门公用经费</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25.67</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5</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33.38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2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部门项目经费</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19.25</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5</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 xml:space="preserve">8200.08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效益指标</w:t>
            </w:r>
          </w:p>
        </w:tc>
        <w:tc>
          <w:tcPr>
            <w:tcW w:w="1125"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社会效益</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指标</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对社会发展的促进作用</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定性</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确保城市发展整体布局，满足现代城市经济发展的最新需求。</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确保城市发展整体布局，满足现代城市经济发展的最新需求。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经济</w:t>
            </w:r>
            <w:r>
              <w:rPr>
                <w:rFonts w:hint="default" w:ascii="Times New Roman" w:hAnsi="Times New Roman" w:cs="Times New Roman"/>
                <w:sz w:val="18"/>
                <w:szCs w:val="18"/>
                <w:vertAlign w:val="baseline"/>
                <w:lang w:val="en-US" w:eastAsia="zh-CN"/>
              </w:rPr>
              <w:t>效益</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指标</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提升土地价值</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eastAsia="宋体" w:cs="Times New Roman"/>
                <w:i w:val="0"/>
                <w:color w:val="000000"/>
                <w:sz w:val="18"/>
                <w:szCs w:val="18"/>
                <w:u w:val="none"/>
                <w:lang w:eastAsia="zh-CN"/>
              </w:rPr>
              <w:t>定性</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大幅度提高土地节约集约利用，使城市土地价值有较大的提升，有效缓减全市土地报征指标紧缺问题。</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sz w:val="18"/>
                <w:szCs w:val="18"/>
                <w:vertAlign w:val="baseline"/>
                <w:lang w:val="en-US" w:eastAsia="zh-CN"/>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10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kern w:val="2"/>
                <w:sz w:val="18"/>
                <w:szCs w:val="18"/>
                <w:vertAlign w:val="baseline"/>
                <w:lang w:val="en-US" w:eastAsia="zh-CN" w:bidi="ar-SA"/>
              </w:rPr>
            </w:pPr>
            <w:r>
              <w:rPr>
                <w:rFonts w:hint="eastAsia" w:ascii="Times New Roman" w:hAnsi="Times New Roman" w:cs="Times New Roman"/>
                <w:sz w:val="18"/>
                <w:szCs w:val="18"/>
                <w:vertAlign w:val="baseline"/>
                <w:lang w:val="en-US" w:eastAsia="zh-CN"/>
              </w:rPr>
              <w:t>大幅度提高土地节约集约利用，使城市土地价值有较大的提升，有效缓减全市土地报征指标紧缺问题。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1"/>
                <w:szCs w:val="21"/>
                <w:vertAlign w:val="baseline"/>
                <w:lang w:val="en-US" w:eastAsia="zh-CN"/>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满意度指标</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满意度指标</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18"/>
                <w:szCs w:val="18"/>
                <w:vertAlign w:val="baseline"/>
                <w:lang w:val="en-US" w:eastAsia="zh-CN"/>
              </w:rPr>
            </w:pPr>
            <w:r>
              <w:rPr>
                <w:rFonts w:hint="default" w:ascii="Times New Roman" w:hAnsi="Times New Roman" w:cs="Times New Roman"/>
                <w:sz w:val="18"/>
                <w:szCs w:val="18"/>
                <w:vertAlign w:val="baseline"/>
                <w:lang w:val="en-US" w:eastAsia="zh-CN"/>
              </w:rPr>
              <w:t>主管部门满意度</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18"/>
                <w:szCs w:val="18"/>
                <w:vertAlign w:val="baseline"/>
                <w:lang w:val="en-US" w:eastAsia="zh-CN" w:bidi="ar-SA"/>
              </w:rPr>
            </w:pPr>
            <w:r>
              <w:rPr>
                <w:rFonts w:hint="eastAsia" w:ascii="仿宋_GB2312" w:hAnsi="仿宋_GB2312" w:eastAsia="仿宋_GB2312" w:cs="仿宋_GB2312"/>
                <w:sz w:val="18"/>
                <w:szCs w:val="18"/>
                <w:vertAlign w:val="baseline"/>
                <w:lang w:val="en-US" w:eastAsia="zh-CN"/>
              </w:rPr>
              <w:t>≥</w:t>
            </w:r>
          </w:p>
        </w:tc>
        <w:tc>
          <w:tcPr>
            <w:tcW w:w="1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18"/>
                <w:szCs w:val="18"/>
                <w:vertAlign w:val="baseline"/>
                <w:lang w:val="en-US" w:eastAsia="zh-CN" w:bidi="ar-SA"/>
              </w:rPr>
            </w:pPr>
            <w:r>
              <w:rPr>
                <w:rFonts w:hint="eastAsia" w:ascii="仿宋_GB2312" w:hAnsi="仿宋_GB2312" w:eastAsia="仿宋_GB2312" w:cs="仿宋_GB2312"/>
                <w:sz w:val="18"/>
                <w:szCs w:val="18"/>
                <w:vertAlign w:val="baseline"/>
                <w:lang w:val="en-US" w:eastAsia="zh-CN"/>
              </w:rPr>
              <w:t>90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18"/>
                <w:szCs w:val="18"/>
                <w:vertAlign w:val="baseline"/>
                <w:lang w:val="en-US" w:eastAsia="zh-CN" w:bidi="ar-SA"/>
              </w:rPr>
            </w:pPr>
            <w:r>
              <w:rPr>
                <w:rFonts w:hint="eastAsia" w:ascii="仿宋_GB2312" w:hAnsi="仿宋_GB2312" w:eastAsia="仿宋_GB2312" w:cs="仿宋_GB2312"/>
                <w:sz w:val="18"/>
                <w:szCs w:val="18"/>
                <w:vertAlign w:val="baseline"/>
                <w:lang w:val="en-US" w:eastAsia="zh-CN"/>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18"/>
                <w:szCs w:val="18"/>
                <w:vertAlign w:val="baseline"/>
                <w:lang w:val="en-US" w:eastAsia="zh-CN"/>
              </w:rPr>
            </w:pPr>
            <w:r>
              <w:rPr>
                <w:rFonts w:hint="eastAsia" w:ascii="仿宋_GB2312" w:hAnsi="仿宋_GB2312" w:cs="仿宋_GB2312"/>
                <w:sz w:val="18"/>
                <w:szCs w:val="18"/>
                <w:vertAlign w:val="baseline"/>
                <w:lang w:val="en-US" w:eastAsia="zh-CN"/>
              </w:rPr>
              <w:t>10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18"/>
                <w:szCs w:val="18"/>
                <w:vertAlign w:val="baseline"/>
                <w:lang w:val="en-US" w:eastAsia="zh-CN"/>
              </w:rPr>
            </w:pPr>
            <w:r>
              <w:rPr>
                <w:rFonts w:hint="eastAsia" w:ascii="仿宋_GB2312" w:hAnsi="仿宋_GB2312" w:cs="仿宋_GB2312"/>
                <w:sz w:val="18"/>
                <w:szCs w:val="18"/>
                <w:vertAlign w:val="baseline"/>
                <w:lang w:val="en-US" w:eastAsia="zh-CN"/>
              </w:rPr>
              <w:t>90</w:t>
            </w:r>
          </w:p>
        </w:tc>
      </w:tr>
    </w:tbl>
    <w:p>
      <w:pPr>
        <w:pStyle w:val="11"/>
        <w:ind w:left="0" w:leftChars="0" w:firstLine="0" w:firstLineChars="0"/>
        <w:jc w:val="center"/>
        <w:rPr>
          <w:rFonts w:hint="default" w:ascii="Times New Roman" w:hAnsi="Times New Roman" w:eastAsia="黑体" w:cs="Times New Roman"/>
          <w:sz w:val="24"/>
          <w:szCs w:val="24"/>
          <w:highlight w:val="none"/>
          <w:lang w:val="en-US" w:eastAsia="zh-CN"/>
        </w:rPr>
      </w:pPr>
    </w:p>
    <w:sectPr>
      <w:headerReference r:id="rId3" w:type="default"/>
      <w:footerReference r:id="rId4" w:type="default"/>
      <w:pgSz w:w="11906" w:h="16838"/>
      <w:pgMar w:top="2041" w:right="1474" w:bottom="1701" w:left="1587" w:header="851" w:footer="1417" w:gutter="0"/>
      <w:pgNumType w:fmt="decimal"/>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
    <w:altName w:val="Courier New"/>
    <w:panose1 w:val="00000000000000000000"/>
    <w:charset w:val="00"/>
    <w:family w:val="roman"/>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40" w:lineRule="auto"/>
                            <w:ind w:left="320" w:leftChars="100" w:right="320" w:rightChars="100" w:firstLine="0" w:firstLineChars="0"/>
                            <w:jc w:val="both"/>
                            <w:textAlignment w:val="auto"/>
                            <w:outlineLvl w:val="9"/>
                            <w:rPr>
                              <w:rFonts w:hint="eastAsia" w:eastAsia="仿宋_GB2312"/>
                              <w:sz w:val="28"/>
                              <w:szCs w:val="28"/>
                              <w:lang w:eastAsia="zh-CN"/>
                            </w:rPr>
                          </w:pP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- 1 -</w:t>
                          </w:r>
                          <w:r>
                            <w:rPr>
                              <w:rFonts w:hint="eastAsia"/>
                              <w:sz w:val="28"/>
                              <w:szCs w:val="28"/>
                              <w:lang w:eastAsia="zh-CN"/>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keepNext w:val="0"/>
                      <w:keepLines w:val="0"/>
                      <w:pageBreakBefore w:val="0"/>
                      <w:widowControl w:val="0"/>
                      <w:kinsoku/>
                      <w:wordWrap/>
                      <w:overflowPunct/>
                      <w:topLinePunct w:val="0"/>
                      <w:autoSpaceDE/>
                      <w:autoSpaceDN/>
                      <w:bidi w:val="0"/>
                      <w:adjustRightInd/>
                      <w:snapToGrid w:val="0"/>
                      <w:spacing w:line="240" w:lineRule="auto"/>
                      <w:ind w:left="320" w:leftChars="100" w:right="320" w:rightChars="100" w:firstLine="0" w:firstLineChars="0"/>
                      <w:jc w:val="both"/>
                      <w:textAlignment w:val="auto"/>
                      <w:outlineLvl w:val="9"/>
                      <w:rPr>
                        <w:rFonts w:hint="eastAsia" w:eastAsia="仿宋_GB2312"/>
                        <w:sz w:val="28"/>
                        <w:szCs w:val="28"/>
                        <w:lang w:eastAsia="zh-CN"/>
                      </w:rPr>
                    </w:pP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- 1 -</w:t>
                    </w:r>
                    <w:r>
                      <w:rPr>
                        <w:rFonts w:hint="eastAsia"/>
                        <w:sz w:val="28"/>
                        <w:szCs w:val="28"/>
                        <w:lang w:eastAsia="zh-CN"/>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HorizontalSpacing w:val="16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973A4"/>
    <w:rsid w:val="002A0195"/>
    <w:rsid w:val="002B5B34"/>
    <w:rsid w:val="002B6906"/>
    <w:rsid w:val="002B7215"/>
    <w:rsid w:val="002C0AFD"/>
    <w:rsid w:val="002C59D0"/>
    <w:rsid w:val="002D1A18"/>
    <w:rsid w:val="002D6C79"/>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44FC"/>
    <w:rsid w:val="003B3299"/>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10897"/>
    <w:rsid w:val="00712F45"/>
    <w:rsid w:val="00734305"/>
    <w:rsid w:val="007370E1"/>
    <w:rsid w:val="007732A1"/>
    <w:rsid w:val="00774C4A"/>
    <w:rsid w:val="00782BBB"/>
    <w:rsid w:val="007A0690"/>
    <w:rsid w:val="007A078F"/>
    <w:rsid w:val="007B34D4"/>
    <w:rsid w:val="007C0633"/>
    <w:rsid w:val="007D086C"/>
    <w:rsid w:val="007F1BE1"/>
    <w:rsid w:val="007F707F"/>
    <w:rsid w:val="007F794C"/>
    <w:rsid w:val="007F7AC9"/>
    <w:rsid w:val="00803B42"/>
    <w:rsid w:val="008073EF"/>
    <w:rsid w:val="0081095C"/>
    <w:rsid w:val="00810C41"/>
    <w:rsid w:val="008212FF"/>
    <w:rsid w:val="0082593B"/>
    <w:rsid w:val="00827537"/>
    <w:rsid w:val="008468EA"/>
    <w:rsid w:val="00867140"/>
    <w:rsid w:val="00881134"/>
    <w:rsid w:val="008904F0"/>
    <w:rsid w:val="008B2F27"/>
    <w:rsid w:val="008B4A72"/>
    <w:rsid w:val="008B585E"/>
    <w:rsid w:val="008E6C0C"/>
    <w:rsid w:val="008F1E63"/>
    <w:rsid w:val="008F3052"/>
    <w:rsid w:val="00901E19"/>
    <w:rsid w:val="009214F7"/>
    <w:rsid w:val="00921CD7"/>
    <w:rsid w:val="00940EB6"/>
    <w:rsid w:val="00944771"/>
    <w:rsid w:val="009601FC"/>
    <w:rsid w:val="00965426"/>
    <w:rsid w:val="0096654A"/>
    <w:rsid w:val="009711E4"/>
    <w:rsid w:val="00971572"/>
    <w:rsid w:val="00981E55"/>
    <w:rsid w:val="00986CEF"/>
    <w:rsid w:val="00987212"/>
    <w:rsid w:val="009A0E5F"/>
    <w:rsid w:val="009F1AF3"/>
    <w:rsid w:val="009F233E"/>
    <w:rsid w:val="00A024AB"/>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E2EAD"/>
    <w:rsid w:val="00AF77BE"/>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8A0"/>
    <w:rsid w:val="00CA32D2"/>
    <w:rsid w:val="00CA4E07"/>
    <w:rsid w:val="00CA737D"/>
    <w:rsid w:val="00CB1EF5"/>
    <w:rsid w:val="00CC05D4"/>
    <w:rsid w:val="00CC7166"/>
    <w:rsid w:val="00CF5275"/>
    <w:rsid w:val="00CF6136"/>
    <w:rsid w:val="00D0023D"/>
    <w:rsid w:val="00D006C6"/>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04E4"/>
    <w:rsid w:val="00DA5D51"/>
    <w:rsid w:val="00DA5E29"/>
    <w:rsid w:val="00DA61CA"/>
    <w:rsid w:val="00DB66BB"/>
    <w:rsid w:val="00DB73AF"/>
    <w:rsid w:val="00DC2865"/>
    <w:rsid w:val="00DD0894"/>
    <w:rsid w:val="00DE1888"/>
    <w:rsid w:val="00DF1250"/>
    <w:rsid w:val="00DF6EF7"/>
    <w:rsid w:val="00E05454"/>
    <w:rsid w:val="00E074C3"/>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79D2"/>
    <w:rsid w:val="00EC0174"/>
    <w:rsid w:val="00ED3EEB"/>
    <w:rsid w:val="00ED5749"/>
    <w:rsid w:val="00ED5FA3"/>
    <w:rsid w:val="00ED68C4"/>
    <w:rsid w:val="00ED6A4E"/>
    <w:rsid w:val="00ED72EA"/>
    <w:rsid w:val="00EE3A4F"/>
    <w:rsid w:val="00EF10C3"/>
    <w:rsid w:val="00EF3BD2"/>
    <w:rsid w:val="00F16BCE"/>
    <w:rsid w:val="00F45DA1"/>
    <w:rsid w:val="00F5267B"/>
    <w:rsid w:val="00F53E8B"/>
    <w:rsid w:val="00F663FD"/>
    <w:rsid w:val="00F743B0"/>
    <w:rsid w:val="00F82409"/>
    <w:rsid w:val="00F8264F"/>
    <w:rsid w:val="00F833E9"/>
    <w:rsid w:val="00F84580"/>
    <w:rsid w:val="00F873DA"/>
    <w:rsid w:val="00F95982"/>
    <w:rsid w:val="00FA006C"/>
    <w:rsid w:val="00FA190E"/>
    <w:rsid w:val="00FA288B"/>
    <w:rsid w:val="00FA2997"/>
    <w:rsid w:val="00FA2C71"/>
    <w:rsid w:val="00FB3345"/>
    <w:rsid w:val="00FD0228"/>
    <w:rsid w:val="00FD3BB7"/>
    <w:rsid w:val="00FE0D93"/>
    <w:rsid w:val="00FF2572"/>
    <w:rsid w:val="00FF32AD"/>
    <w:rsid w:val="02197887"/>
    <w:rsid w:val="08EC41AE"/>
    <w:rsid w:val="0A9E7741"/>
    <w:rsid w:val="0DC31556"/>
    <w:rsid w:val="0DE454AF"/>
    <w:rsid w:val="10245489"/>
    <w:rsid w:val="129D3490"/>
    <w:rsid w:val="13E75CDF"/>
    <w:rsid w:val="1A3D6143"/>
    <w:rsid w:val="1C013801"/>
    <w:rsid w:val="1C2C621D"/>
    <w:rsid w:val="1DFD8D3B"/>
    <w:rsid w:val="1E6E4862"/>
    <w:rsid w:val="1EEB7A66"/>
    <w:rsid w:val="1F092C4D"/>
    <w:rsid w:val="1FB79DC9"/>
    <w:rsid w:val="1FBFC3F2"/>
    <w:rsid w:val="1FFFE033"/>
    <w:rsid w:val="20193783"/>
    <w:rsid w:val="27F352A6"/>
    <w:rsid w:val="2D527252"/>
    <w:rsid w:val="2DDC1740"/>
    <w:rsid w:val="2EAE55F2"/>
    <w:rsid w:val="2EDF4302"/>
    <w:rsid w:val="2EFE1A04"/>
    <w:rsid w:val="33412FF3"/>
    <w:rsid w:val="35BBF80F"/>
    <w:rsid w:val="382153C9"/>
    <w:rsid w:val="3AA118C5"/>
    <w:rsid w:val="3B736F08"/>
    <w:rsid w:val="3BE3D531"/>
    <w:rsid w:val="3D431A40"/>
    <w:rsid w:val="3D672AB6"/>
    <w:rsid w:val="3EFF42CA"/>
    <w:rsid w:val="3FCC1C77"/>
    <w:rsid w:val="3FD5AF3D"/>
    <w:rsid w:val="3FFED8BE"/>
    <w:rsid w:val="3FFF43BB"/>
    <w:rsid w:val="433DCF8E"/>
    <w:rsid w:val="45FF973D"/>
    <w:rsid w:val="47550EBA"/>
    <w:rsid w:val="478D790C"/>
    <w:rsid w:val="4A4B1955"/>
    <w:rsid w:val="4BF7E09D"/>
    <w:rsid w:val="4C20607F"/>
    <w:rsid w:val="53BB74FC"/>
    <w:rsid w:val="55FDDF92"/>
    <w:rsid w:val="55FFBC03"/>
    <w:rsid w:val="56CDA72E"/>
    <w:rsid w:val="576F5916"/>
    <w:rsid w:val="577FDAE2"/>
    <w:rsid w:val="57FBE2C7"/>
    <w:rsid w:val="58D47500"/>
    <w:rsid w:val="5B335734"/>
    <w:rsid w:val="5B7F322F"/>
    <w:rsid w:val="5BCAB023"/>
    <w:rsid w:val="5DDA9B94"/>
    <w:rsid w:val="5EAB810D"/>
    <w:rsid w:val="5EFF9DA6"/>
    <w:rsid w:val="5F7751B9"/>
    <w:rsid w:val="5F9F7232"/>
    <w:rsid w:val="5F9F9588"/>
    <w:rsid w:val="5FBD32D2"/>
    <w:rsid w:val="5FD450B0"/>
    <w:rsid w:val="5FEF60CD"/>
    <w:rsid w:val="5FFB203D"/>
    <w:rsid w:val="5FFB8CF9"/>
    <w:rsid w:val="63DBAF21"/>
    <w:rsid w:val="65380FEB"/>
    <w:rsid w:val="6636451A"/>
    <w:rsid w:val="670D2EF0"/>
    <w:rsid w:val="67DE80AA"/>
    <w:rsid w:val="697E3B47"/>
    <w:rsid w:val="69BF132E"/>
    <w:rsid w:val="6BFEE5F3"/>
    <w:rsid w:val="6CAFF34E"/>
    <w:rsid w:val="6CFFCF4F"/>
    <w:rsid w:val="6DFFF8B6"/>
    <w:rsid w:val="6EEDE807"/>
    <w:rsid w:val="6EEE4BE4"/>
    <w:rsid w:val="6EF65E9C"/>
    <w:rsid w:val="6F3D9197"/>
    <w:rsid w:val="6FAB3EC4"/>
    <w:rsid w:val="6FB6AF41"/>
    <w:rsid w:val="6FD894C8"/>
    <w:rsid w:val="6FE36A9E"/>
    <w:rsid w:val="6FEFB2D1"/>
    <w:rsid w:val="6FFF97E6"/>
    <w:rsid w:val="71397E03"/>
    <w:rsid w:val="71FB5B08"/>
    <w:rsid w:val="73FB87D9"/>
    <w:rsid w:val="74A3068F"/>
    <w:rsid w:val="75EF0FBA"/>
    <w:rsid w:val="7607C293"/>
    <w:rsid w:val="76843AC8"/>
    <w:rsid w:val="76DFA4E8"/>
    <w:rsid w:val="778720BD"/>
    <w:rsid w:val="77A7D615"/>
    <w:rsid w:val="77CF4EC7"/>
    <w:rsid w:val="77FF366A"/>
    <w:rsid w:val="77FF8C96"/>
    <w:rsid w:val="77FFA8F9"/>
    <w:rsid w:val="7976604B"/>
    <w:rsid w:val="79F3BC78"/>
    <w:rsid w:val="7A5B6CAA"/>
    <w:rsid w:val="7A9314AC"/>
    <w:rsid w:val="7B4F6850"/>
    <w:rsid w:val="7BABD5C4"/>
    <w:rsid w:val="7BB12055"/>
    <w:rsid w:val="7BBFADBA"/>
    <w:rsid w:val="7BFF492D"/>
    <w:rsid w:val="7C631402"/>
    <w:rsid w:val="7C978C63"/>
    <w:rsid w:val="7CA35AD0"/>
    <w:rsid w:val="7CDF8BC3"/>
    <w:rsid w:val="7CEB72A5"/>
    <w:rsid w:val="7D18750B"/>
    <w:rsid w:val="7DDFDC39"/>
    <w:rsid w:val="7E140770"/>
    <w:rsid w:val="7E5D92FB"/>
    <w:rsid w:val="7EF51D64"/>
    <w:rsid w:val="7EFFF488"/>
    <w:rsid w:val="7F574612"/>
    <w:rsid w:val="7F7F4920"/>
    <w:rsid w:val="7FB7C299"/>
    <w:rsid w:val="7FBFFB92"/>
    <w:rsid w:val="7FD76ACB"/>
    <w:rsid w:val="7FD89DA2"/>
    <w:rsid w:val="7FDBD805"/>
    <w:rsid w:val="7FDEC14D"/>
    <w:rsid w:val="7FDF8B76"/>
    <w:rsid w:val="7FDFE693"/>
    <w:rsid w:val="7FEFB5DD"/>
    <w:rsid w:val="7FEFBBD9"/>
    <w:rsid w:val="7FFD6A57"/>
    <w:rsid w:val="7FFDA7EC"/>
    <w:rsid w:val="7FFDEA1E"/>
    <w:rsid w:val="7FFEC1F6"/>
    <w:rsid w:val="7FFF2F52"/>
    <w:rsid w:val="8F7B4EC8"/>
    <w:rsid w:val="8FBD4480"/>
    <w:rsid w:val="8FF7AE96"/>
    <w:rsid w:val="955F5184"/>
    <w:rsid w:val="9F6311D7"/>
    <w:rsid w:val="9FF54399"/>
    <w:rsid w:val="A46D76C1"/>
    <w:rsid w:val="A7FF43C2"/>
    <w:rsid w:val="ABF66286"/>
    <w:rsid w:val="AD9E3F04"/>
    <w:rsid w:val="ADA70464"/>
    <w:rsid w:val="AEF767A0"/>
    <w:rsid w:val="AFE97CD3"/>
    <w:rsid w:val="B1BF5C63"/>
    <w:rsid w:val="B1FF3A18"/>
    <w:rsid w:val="B3CDF284"/>
    <w:rsid w:val="B3E8107B"/>
    <w:rsid w:val="B5F66F24"/>
    <w:rsid w:val="B7F5200A"/>
    <w:rsid w:val="BABDA1AA"/>
    <w:rsid w:val="BB1B4BF1"/>
    <w:rsid w:val="BBE5FE68"/>
    <w:rsid w:val="BBFEB9C1"/>
    <w:rsid w:val="BDF7406A"/>
    <w:rsid w:val="BE6FD8DB"/>
    <w:rsid w:val="BEEF57C2"/>
    <w:rsid w:val="BF6D5596"/>
    <w:rsid w:val="BFBEBB2C"/>
    <w:rsid w:val="BFC68935"/>
    <w:rsid w:val="BFDD0F1D"/>
    <w:rsid w:val="BFDDD096"/>
    <w:rsid w:val="C5B3F496"/>
    <w:rsid w:val="C96F3E49"/>
    <w:rsid w:val="CBBF14F3"/>
    <w:rsid w:val="CBE5DCF2"/>
    <w:rsid w:val="CCFCC735"/>
    <w:rsid w:val="CEEB8A74"/>
    <w:rsid w:val="D37FB642"/>
    <w:rsid w:val="D7BCD4BF"/>
    <w:rsid w:val="D7F99798"/>
    <w:rsid w:val="D7FF400C"/>
    <w:rsid w:val="DBED1CD4"/>
    <w:rsid w:val="DBFBB328"/>
    <w:rsid w:val="DDD7453A"/>
    <w:rsid w:val="DE3E1FD7"/>
    <w:rsid w:val="DFBE1B79"/>
    <w:rsid w:val="DFCF1FEC"/>
    <w:rsid w:val="DFE75A3D"/>
    <w:rsid w:val="DFED2117"/>
    <w:rsid w:val="DFEF594B"/>
    <w:rsid w:val="DFF3F960"/>
    <w:rsid w:val="DFFE0D61"/>
    <w:rsid w:val="E35C4B3C"/>
    <w:rsid w:val="E3A781CA"/>
    <w:rsid w:val="E5DFAB50"/>
    <w:rsid w:val="E6FC647F"/>
    <w:rsid w:val="EBFBC8F1"/>
    <w:rsid w:val="EBFDF757"/>
    <w:rsid w:val="ED758B5D"/>
    <w:rsid w:val="ED76A08D"/>
    <w:rsid w:val="EDBDD81F"/>
    <w:rsid w:val="EDFDB542"/>
    <w:rsid w:val="EF0FCF96"/>
    <w:rsid w:val="EF95E20F"/>
    <w:rsid w:val="EFAF7DFF"/>
    <w:rsid w:val="EFAFB283"/>
    <w:rsid w:val="EFBDA38B"/>
    <w:rsid w:val="EFEE9A76"/>
    <w:rsid w:val="F1BF6FBC"/>
    <w:rsid w:val="F1F9A9B5"/>
    <w:rsid w:val="F3779FC2"/>
    <w:rsid w:val="F3D5C239"/>
    <w:rsid w:val="F3F37DF4"/>
    <w:rsid w:val="F3F96DE6"/>
    <w:rsid w:val="F3FBC54A"/>
    <w:rsid w:val="F47BB68A"/>
    <w:rsid w:val="F47F523E"/>
    <w:rsid w:val="F69FD6B0"/>
    <w:rsid w:val="F7E7F921"/>
    <w:rsid w:val="F7F7AC6A"/>
    <w:rsid w:val="F7FD93B9"/>
    <w:rsid w:val="FABF64A5"/>
    <w:rsid w:val="FABF7411"/>
    <w:rsid w:val="FBA53981"/>
    <w:rsid w:val="FBE4457E"/>
    <w:rsid w:val="FBFC558A"/>
    <w:rsid w:val="FBFF71AC"/>
    <w:rsid w:val="FBFFEA2B"/>
    <w:rsid w:val="FCBB4792"/>
    <w:rsid w:val="FCCB27AA"/>
    <w:rsid w:val="FCFF8F4B"/>
    <w:rsid w:val="FD9595AD"/>
    <w:rsid w:val="FDF9DD9A"/>
    <w:rsid w:val="FDFF2821"/>
    <w:rsid w:val="FDFFA696"/>
    <w:rsid w:val="FE7FB02B"/>
    <w:rsid w:val="FEBD0232"/>
    <w:rsid w:val="FED5A77F"/>
    <w:rsid w:val="FEDFD193"/>
    <w:rsid w:val="FEE7097E"/>
    <w:rsid w:val="FEEF8230"/>
    <w:rsid w:val="FEF1F1BE"/>
    <w:rsid w:val="FEF99316"/>
    <w:rsid w:val="FEFB20CB"/>
    <w:rsid w:val="FEFD95B3"/>
    <w:rsid w:val="FEFE4E93"/>
    <w:rsid w:val="FEFFA483"/>
    <w:rsid w:val="FF29B32D"/>
    <w:rsid w:val="FF2E6944"/>
    <w:rsid w:val="FF5F9D52"/>
    <w:rsid w:val="FF7A0B6A"/>
    <w:rsid w:val="FF7B6DC2"/>
    <w:rsid w:val="FF7FFF75"/>
    <w:rsid w:val="FF921F59"/>
    <w:rsid w:val="FFBB1E09"/>
    <w:rsid w:val="FFBB6A0C"/>
    <w:rsid w:val="FFBD894B"/>
    <w:rsid w:val="FFBF33B3"/>
    <w:rsid w:val="FFD09362"/>
    <w:rsid w:val="FFD1DA08"/>
    <w:rsid w:val="FFD7DEDD"/>
    <w:rsid w:val="FFDE369F"/>
    <w:rsid w:val="FFEF98C9"/>
    <w:rsid w:val="FFEFCE62"/>
    <w:rsid w:val="FFF973B0"/>
    <w:rsid w:val="FFFB4F05"/>
    <w:rsid w:val="FFFEC8F5"/>
    <w:rsid w:val="FFFEF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3">
    <w:name w:val="Normal Indent"/>
    <w:basedOn w:val="1"/>
    <w:next w:val="1"/>
    <w:qFormat/>
    <w:uiPriority w:val="0"/>
    <w:pPr>
      <w:spacing w:before="156" w:beforeLines="50" w:line="360" w:lineRule="auto"/>
      <w:ind w:firstLine="480" w:firstLineChars="200"/>
    </w:pPr>
    <w:rPr>
      <w:rFonts w:eastAsia="仿宋"/>
      <w:sz w:val="24"/>
      <w:szCs w:val="23"/>
      <w:lang w:eastAsia="ar-SA"/>
    </w:rPr>
  </w:style>
  <w:style w:type="paragraph" w:styleId="4">
    <w:name w:val="Document Map"/>
    <w:basedOn w:val="1"/>
    <w:link w:val="18"/>
    <w:qFormat/>
    <w:uiPriority w:val="0"/>
    <w:rPr>
      <w:rFonts w:ascii="宋体" w:eastAsia="宋体"/>
      <w:sz w:val="18"/>
      <w:szCs w:val="18"/>
    </w:rPr>
  </w:style>
  <w:style w:type="paragraph" w:styleId="5">
    <w:name w:val="Body Text"/>
    <w:basedOn w:val="1"/>
    <w:next w:val="1"/>
    <w:qFormat/>
    <w:uiPriority w:val="0"/>
    <w:pPr>
      <w:spacing w:after="120"/>
    </w:pPr>
  </w:style>
  <w:style w:type="paragraph" w:styleId="6">
    <w:name w:val="Body Text Indent"/>
    <w:basedOn w:val="1"/>
    <w:qFormat/>
    <w:uiPriority w:val="0"/>
    <w:pPr>
      <w:spacing w:after="120"/>
      <w:ind w:leftChars="200"/>
    </w:pPr>
    <w:rPr>
      <w:rFonts w:ascii="仿宋_GB2312"/>
      <w:szCs w:val="32"/>
    </w:rPr>
  </w:style>
  <w:style w:type="paragraph" w:styleId="7">
    <w:name w:val="Balloon Text"/>
    <w:basedOn w:val="1"/>
    <w:semiHidden/>
    <w:qFormat/>
    <w:uiPriority w:val="0"/>
    <w:rPr>
      <w:sz w:val="18"/>
      <w:szCs w:val="18"/>
    </w:rPr>
  </w:style>
  <w:style w:type="paragraph" w:styleId="8">
    <w:name w:val="footer"/>
    <w:basedOn w:val="1"/>
    <w:link w:val="20"/>
    <w:qFormat/>
    <w:uiPriority w:val="99"/>
    <w:pPr>
      <w:tabs>
        <w:tab w:val="center" w:pos="4153"/>
        <w:tab w:val="right" w:pos="8306"/>
      </w:tabs>
      <w:snapToGrid w:val="0"/>
      <w:jc w:val="left"/>
    </w:pPr>
    <w:rPr>
      <w:rFonts w:eastAsia="宋体"/>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10">
    <w:name w:val="toc 1"/>
    <w:basedOn w:val="1"/>
    <w:next w:val="1"/>
    <w:qFormat/>
    <w:uiPriority w:val="0"/>
  </w:style>
  <w:style w:type="paragraph" w:styleId="11">
    <w:name w:val="Body Text First Indent 2"/>
    <w:basedOn w:val="6"/>
    <w:unhideWhenUsed/>
    <w:qFormat/>
    <w:uiPriority w:val="99"/>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paragraph" w:customStyle="1" w:styleId="16">
    <w:name w:val="四号正文"/>
    <w:basedOn w:val="1"/>
    <w:link w:val="17"/>
    <w:qFormat/>
    <w:uiPriority w:val="0"/>
    <w:pPr>
      <w:spacing w:line="360" w:lineRule="auto"/>
    </w:pPr>
    <w:rPr>
      <w:rFonts w:ascii="??" w:hAnsi="??" w:eastAsia="宋体" w:cs="宋体"/>
      <w:color w:val="000000"/>
      <w:kern w:val="0"/>
      <w:sz w:val="28"/>
      <w:szCs w:val="21"/>
    </w:rPr>
  </w:style>
  <w:style w:type="character" w:customStyle="1" w:styleId="17">
    <w:name w:val="四号正文 Char"/>
    <w:basedOn w:val="14"/>
    <w:link w:val="16"/>
    <w:qFormat/>
    <w:uiPriority w:val="0"/>
    <w:rPr>
      <w:rFonts w:ascii="??" w:hAnsi="??" w:eastAsia="宋体" w:cs="宋体"/>
      <w:color w:val="000000"/>
      <w:sz w:val="28"/>
      <w:szCs w:val="21"/>
      <w:lang w:val="en-US" w:eastAsia="zh-CN" w:bidi="ar-SA"/>
    </w:rPr>
  </w:style>
  <w:style w:type="character" w:customStyle="1" w:styleId="18">
    <w:name w:val="文档结构图 Char"/>
    <w:basedOn w:val="14"/>
    <w:link w:val="4"/>
    <w:qFormat/>
    <w:uiPriority w:val="0"/>
    <w:rPr>
      <w:rFonts w:ascii="宋体"/>
      <w:kern w:val="2"/>
      <w:sz w:val="18"/>
      <w:szCs w:val="18"/>
    </w:rPr>
  </w:style>
  <w:style w:type="paragraph" w:customStyle="1" w:styleId="19">
    <w:name w:val="a"/>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0">
    <w:name w:val="页脚 Char"/>
    <w:basedOn w:val="14"/>
    <w:link w:val="8"/>
    <w:qFormat/>
    <w:uiPriority w:val="99"/>
    <w:rPr>
      <w:kern w:val="2"/>
      <w:sz w:val="18"/>
      <w:szCs w:val="18"/>
    </w:rPr>
  </w:style>
  <w:style w:type="character" w:customStyle="1" w:styleId="21">
    <w:name w:val="font31"/>
    <w:basedOn w:val="14"/>
    <w:qFormat/>
    <w:uiPriority w:val="0"/>
    <w:rPr>
      <w:rFonts w:hint="eastAsia" w:ascii="宋体" w:hAnsi="宋体" w:eastAsia="宋体" w:cs="宋体"/>
      <w:color w:val="000000"/>
      <w:sz w:val="24"/>
      <w:szCs w:val="24"/>
      <w:u w:val="none"/>
    </w:rPr>
  </w:style>
  <w:style w:type="character" w:customStyle="1" w:styleId="22">
    <w:name w:val="font51"/>
    <w:basedOn w:val="14"/>
    <w:qFormat/>
    <w:uiPriority w:val="0"/>
    <w:rPr>
      <w:rFonts w:hint="default" w:ascii="Wingdings 2" w:hAnsi="Wingdings 2" w:eastAsia="Wingdings 2" w:cs="Wingdings 2"/>
      <w:color w:val="000000"/>
      <w:sz w:val="18"/>
      <w:szCs w:val="18"/>
      <w:u w:val="none"/>
    </w:rPr>
  </w:style>
  <w:style w:type="character" w:customStyle="1" w:styleId="23">
    <w:name w:val="font01"/>
    <w:basedOn w:val="14"/>
    <w:qFormat/>
    <w:uiPriority w:val="0"/>
    <w:rPr>
      <w:rFonts w:ascii="宋体" w:hAnsi="宋体" w:eastAsia="宋体" w:cs="宋体"/>
      <w:color w:val="000000"/>
      <w:sz w:val="18"/>
      <w:szCs w:val="18"/>
      <w:u w:val="none"/>
    </w:rPr>
  </w:style>
  <w:style w:type="character" w:customStyle="1" w:styleId="24">
    <w:name w:val="font41"/>
    <w:basedOn w:val="14"/>
    <w:qFormat/>
    <w:uiPriority w:val="0"/>
    <w:rPr>
      <w:rFonts w:ascii="宋体" w:hAnsi="宋体" w:eastAsia="宋体" w:cs="宋体"/>
      <w:color w:val="000000"/>
      <w:sz w:val="18"/>
      <w:szCs w:val="18"/>
      <w:u w:val="none"/>
    </w:rPr>
  </w:style>
  <w:style w:type="paragraph" w:customStyle="1" w:styleId="25">
    <w:name w:val="表文字"/>
    <w:basedOn w:val="26"/>
    <w:qFormat/>
    <w:uiPriority w:val="5"/>
    <w:pPr>
      <w:widowControl/>
      <w:pBdr>
        <w:between w:val="single" w:color="auto" w:sz="4" w:space="1"/>
      </w:pBdr>
      <w:spacing w:line="320" w:lineRule="exact"/>
      <w:ind w:firstLine="0" w:firstLineChars="0"/>
      <w:jc w:val="center"/>
    </w:pPr>
    <w:rPr>
      <w:rFonts w:cs="宋体"/>
      <w:bCs/>
      <w:color w:val="000000"/>
      <w:sz w:val="22"/>
    </w:rPr>
  </w:style>
  <w:style w:type="paragraph" w:customStyle="1" w:styleId="26">
    <w:name w:val="报告正文"/>
    <w:basedOn w:val="1"/>
    <w:qFormat/>
    <w:uiPriority w:val="0"/>
    <w:pPr>
      <w:spacing w:line="600" w:lineRule="exact"/>
      <w:ind w:firstLine="200" w:firstLineChars="200"/>
    </w:pPr>
    <w:rPr>
      <w:rFonts w:eastAsia="仿宋"/>
      <w:kern w:val="0"/>
      <w:szCs w:val="28"/>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PSZX</Company>
  <Pages>13</Pages>
  <Words>3587</Words>
  <Characters>4285</Characters>
  <Lines>2</Lines>
  <Paragraphs>1</Paragraphs>
  <TotalTime>61</TotalTime>
  <ScaleCrop>false</ScaleCrop>
  <LinksUpToDate>false</LinksUpToDate>
  <CharactersWithSpaces>4318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2019-05-29T11:06:00Z</dcterms:created>
  <dc:creator>陈萍</dc:creator>
  <cp:lastModifiedBy>彩虹</cp:lastModifiedBy>
  <cp:lastPrinted>2025-05-27T02:30:00Z</cp:lastPrinted>
  <dcterms:modified xsi:type="dcterms:W3CDTF">2025-08-18T08:50:56Z</dcterms:modified>
  <dc:title>区域性就业培训基地建设项目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C0FCC9F4C15575AD2FD1F567C9881326</vt:lpwstr>
  </property>
  <property fmtid="{D5CDD505-2E9C-101B-9397-08002B2CF9AE}" pid="4" name="KSOTemplateDocerSaveRecord">
    <vt:lpwstr>eyJoZGlkIjoiYWY1NjFlZTNhN2YzY2ZhZmQxNjIyMWJmNDJhYTk1OGIifQ==</vt:lpwstr>
  </property>
</Properties>
</file>