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C005B">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Times New Roman" w:hAnsi="Times New Roman" w:eastAsia="方正小标宋简体" w:cs="方正小标宋简体"/>
          <w:color w:val="auto"/>
          <w:sz w:val="44"/>
          <w:szCs w:val="44"/>
          <w:shd w:val="clear" w:color="auto" w:fill="FFFFFF"/>
          <w:lang w:val="en-US" w:eastAsia="zh-CN"/>
        </w:rPr>
      </w:pPr>
    </w:p>
    <w:p w14:paraId="1BA1D645">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Times New Roman" w:hAnsi="Times New Roman" w:eastAsia="方正小标宋简体" w:cs="方正小标宋简体"/>
          <w:color w:val="auto"/>
          <w:sz w:val="44"/>
          <w:szCs w:val="44"/>
          <w:shd w:val="clear" w:color="auto" w:fill="FFFFFF"/>
          <w:lang w:val="en-US" w:eastAsia="zh-CN"/>
        </w:rPr>
      </w:pPr>
    </w:p>
    <w:p w14:paraId="28624130">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Times New Roman" w:hAnsi="Times New Roman" w:eastAsia="方正小标宋简体" w:cs="方正小标宋简体"/>
          <w:color w:val="auto"/>
          <w:sz w:val="44"/>
          <w:szCs w:val="44"/>
          <w:shd w:val="clear" w:color="auto" w:fill="FFFFFF"/>
          <w:lang w:val="en-US" w:eastAsia="zh-CN"/>
        </w:rPr>
      </w:pPr>
      <w:bookmarkStart w:id="1" w:name="_GoBack"/>
      <w:bookmarkEnd w:id="1"/>
      <w:r>
        <w:rPr>
          <w:rFonts w:hint="eastAsia" w:ascii="Times New Roman" w:hAnsi="Times New Roman" w:eastAsia="方正小标宋简体" w:cs="方正小标宋简体"/>
          <w:color w:val="auto"/>
          <w:sz w:val="44"/>
          <w:szCs w:val="44"/>
          <w:shd w:val="clear" w:color="auto" w:fill="FFFFFF"/>
          <w:lang w:val="en-US" w:eastAsia="zh-CN"/>
        </w:rPr>
        <w:t>遂宁市河东新区自然资源和规划中心</w:t>
      </w:r>
    </w:p>
    <w:p w14:paraId="1C456815">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Times New Roman" w:hAnsi="Times New Roman" w:eastAsia="方正小标宋简体" w:cs="方正小标宋简体"/>
          <w:color w:val="auto"/>
          <w:sz w:val="44"/>
          <w:szCs w:val="44"/>
          <w:shd w:val="clear" w:color="auto" w:fill="FFFFFF"/>
        </w:rPr>
      </w:pPr>
      <w:r>
        <w:rPr>
          <w:rFonts w:hint="eastAsia" w:ascii="Times New Roman" w:hAnsi="Times New Roman" w:eastAsia="方正小标宋简体" w:cs="方正小标宋简体"/>
          <w:color w:val="auto"/>
          <w:sz w:val="44"/>
          <w:szCs w:val="44"/>
          <w:shd w:val="clear" w:color="auto" w:fill="FFFFFF"/>
        </w:rPr>
        <w:t>20</w:t>
      </w:r>
      <w:r>
        <w:rPr>
          <w:rFonts w:hint="eastAsia" w:ascii="Times New Roman" w:hAnsi="Times New Roman" w:eastAsia="方正小标宋简体" w:cs="方正小标宋简体"/>
          <w:color w:val="auto"/>
          <w:sz w:val="44"/>
          <w:szCs w:val="44"/>
          <w:shd w:val="clear" w:color="auto" w:fill="FFFFFF"/>
          <w:lang w:val="en-US" w:eastAsia="zh-CN"/>
        </w:rPr>
        <w:t>24</w:t>
      </w:r>
      <w:r>
        <w:rPr>
          <w:rFonts w:hint="eastAsia" w:ascii="Times New Roman" w:hAnsi="Times New Roman" w:eastAsia="方正小标宋简体" w:cs="方正小标宋简体"/>
          <w:color w:val="auto"/>
          <w:sz w:val="44"/>
          <w:szCs w:val="44"/>
          <w:shd w:val="clear" w:color="auto" w:fill="FFFFFF"/>
        </w:rPr>
        <w:t>年部门</w:t>
      </w:r>
      <w:r>
        <w:rPr>
          <w:rFonts w:hint="eastAsia" w:ascii="Times New Roman" w:hAnsi="Times New Roman" w:eastAsia="方正小标宋简体" w:cs="方正小标宋简体"/>
          <w:color w:val="auto"/>
          <w:sz w:val="44"/>
          <w:szCs w:val="44"/>
          <w:shd w:val="clear" w:color="auto" w:fill="FFFFFF"/>
          <w:lang w:eastAsia="zh-CN"/>
        </w:rPr>
        <w:t>整体</w:t>
      </w:r>
      <w:r>
        <w:rPr>
          <w:rFonts w:hint="eastAsia" w:ascii="Times New Roman" w:hAnsi="Times New Roman" w:eastAsia="方正小标宋简体" w:cs="方正小标宋简体"/>
          <w:color w:val="auto"/>
          <w:sz w:val="44"/>
          <w:szCs w:val="44"/>
          <w:shd w:val="clear" w:color="auto" w:fill="FFFFFF"/>
        </w:rPr>
        <w:t>支出绩效</w:t>
      </w:r>
      <w:r>
        <w:rPr>
          <w:rFonts w:hint="eastAsia" w:ascii="Times New Roman" w:hAnsi="Times New Roman" w:eastAsia="方正小标宋简体" w:cs="方正小标宋简体"/>
          <w:color w:val="auto"/>
          <w:sz w:val="44"/>
          <w:szCs w:val="44"/>
          <w:shd w:val="clear" w:color="auto" w:fill="FFFFFF"/>
          <w:lang w:eastAsia="zh-CN"/>
        </w:rPr>
        <w:t>评价</w:t>
      </w:r>
      <w:r>
        <w:rPr>
          <w:rFonts w:hint="eastAsia" w:ascii="Times New Roman" w:hAnsi="Times New Roman" w:eastAsia="方正小标宋简体" w:cs="方正小标宋简体"/>
          <w:color w:val="auto"/>
          <w:sz w:val="44"/>
          <w:szCs w:val="44"/>
          <w:shd w:val="clear" w:color="auto" w:fill="FFFFFF"/>
        </w:rPr>
        <w:t>报告</w:t>
      </w:r>
    </w:p>
    <w:p w14:paraId="1AD764FE">
      <w:pPr>
        <w:keepNext w:val="0"/>
        <w:keepLines w:val="0"/>
        <w:pageBreakBefore w:val="0"/>
        <w:widowControl/>
        <w:kinsoku/>
        <w:wordWrap/>
        <w:overflowPunct/>
        <w:topLinePunct w:val="0"/>
        <w:autoSpaceDE/>
        <w:autoSpaceDN/>
        <w:bidi w:val="0"/>
        <w:adjustRightInd/>
        <w:snapToGrid/>
        <w:spacing w:line="579" w:lineRule="exact"/>
        <w:ind w:right="0" w:rightChars="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14:paraId="40A5E1BB">
      <w:pPr>
        <w:keepNext w:val="0"/>
        <w:keepLines w:val="0"/>
        <w:pageBreakBefore w:val="0"/>
        <w:widowControl/>
        <w:numPr>
          <w:ilvl w:val="0"/>
          <w:numId w:val="0"/>
        </w:numPr>
        <w:kinsoku/>
        <w:wordWrap/>
        <w:overflowPunct/>
        <w:topLinePunct w:val="0"/>
        <w:autoSpaceDE/>
        <w:autoSpaceDN/>
        <w:bidi w:val="0"/>
        <w:adjustRightInd/>
        <w:snapToGrid/>
        <w:spacing w:line="579" w:lineRule="exact"/>
        <w:ind w:left="0" w:leftChars="0" w:right="0" w:rightChars="0" w:firstLine="640" w:firstLineChars="200"/>
        <w:contextualSpacing/>
        <w:jc w:val="both"/>
        <w:textAlignment w:val="auto"/>
        <w:outlineLvl w:val="9"/>
        <w:rPr>
          <w:rFonts w:hint="default" w:ascii="Times New Roman" w:hAnsi="Times New Roman" w:cs="Times New Roman"/>
          <w:sz w:val="32"/>
          <w:szCs w:val="32"/>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C1E6D95">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（一）</w:t>
      </w:r>
      <w:r>
        <w:rPr>
          <w:rFonts w:hint="default" w:ascii="Times New Roman" w:hAnsi="Times New Roman" w:eastAsia="楷体_GB2312" w:cs="Times New Roman"/>
          <w:b w:val="0"/>
          <w:bCs w:val="0"/>
          <w:color w:val="000000"/>
          <w:kern w:val="0"/>
          <w:sz w:val="32"/>
          <w:szCs w:val="32"/>
          <w:highlight w:val="none"/>
          <w:shd w:val="clear" w:color="auto" w:fill="FFFFFF"/>
          <w:lang w:val="zh-CN"/>
        </w:rPr>
        <w:t>机构组成</w:t>
      </w:r>
    </w:p>
    <w:p w14:paraId="6F2AEA06">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Times New Roman"/>
          <w:sz w:val="33"/>
          <w:szCs w:val="33"/>
        </w:rPr>
      </w:pPr>
      <w:r>
        <w:rPr>
          <w:rFonts w:hint="eastAsia" w:ascii="Times New Roman" w:hAnsi="Times New Roman" w:cs="仿宋_GB2312"/>
          <w:color w:val="auto"/>
          <w:kern w:val="0"/>
          <w:shd w:val="clear" w:color="auto" w:fill="FFFFFF"/>
          <w:lang w:val="en-US" w:eastAsia="zh-CN"/>
        </w:rPr>
        <w:t>根据《中共遂宁市委机构编制委员会关于调整市不动产登记中心等事业单位机构编制事项的批复》（遂编发</w:t>
      </w:r>
      <w:r>
        <w:rPr>
          <w:rFonts w:hint="eastAsia" w:ascii="Times New Roman" w:hAnsi="Times New Roman" w:eastAsia="仿宋_GB2312"/>
          <w:color w:val="auto"/>
          <w:sz w:val="32"/>
          <w:szCs w:val="32"/>
        </w:rPr>
        <w:t>〔20</w:t>
      </w:r>
      <w:r>
        <w:rPr>
          <w:rFonts w:hint="eastAsia" w:ascii="Times New Roman" w:hAnsi="Times New Roman"/>
          <w:color w:val="auto"/>
          <w:sz w:val="32"/>
          <w:szCs w:val="32"/>
          <w:lang w:val="en-US" w:eastAsia="zh-CN"/>
        </w:rPr>
        <w:t>19</w:t>
      </w:r>
      <w:r>
        <w:rPr>
          <w:rFonts w:hint="eastAsia" w:ascii="Times New Roman" w:hAnsi="Times New Roman" w:eastAsia="仿宋_GB2312"/>
          <w:color w:val="auto"/>
          <w:sz w:val="32"/>
          <w:szCs w:val="32"/>
        </w:rPr>
        <w:t>〕</w:t>
      </w:r>
      <w:r>
        <w:rPr>
          <w:rFonts w:hint="eastAsia" w:ascii="Times New Roman" w:hAnsi="Times New Roman"/>
          <w:color w:val="auto"/>
          <w:sz w:val="32"/>
          <w:szCs w:val="32"/>
          <w:lang w:val="en-US" w:eastAsia="zh-CN"/>
        </w:rPr>
        <w:t>15号</w:t>
      </w:r>
      <w:r>
        <w:rPr>
          <w:rFonts w:hint="eastAsia"/>
          <w:color w:val="auto"/>
          <w:sz w:val="32"/>
          <w:szCs w:val="32"/>
          <w:lang w:val="en-US" w:eastAsia="zh-CN"/>
        </w:rPr>
        <w:t>）</w:t>
      </w:r>
      <w:r>
        <w:rPr>
          <w:rFonts w:hint="eastAsia" w:ascii="Times New Roman" w:hAnsi="Times New Roman"/>
          <w:color w:val="auto"/>
          <w:sz w:val="32"/>
          <w:szCs w:val="32"/>
          <w:lang w:val="en-US" w:eastAsia="zh-CN"/>
        </w:rPr>
        <w:t>遂宁市国土资源局河东新区分局更名为遂宁市河东新区自然资源和规划中心。</w:t>
      </w:r>
      <w:r>
        <w:rPr>
          <w:rFonts w:hint="eastAsia" w:ascii="Times New Roman" w:hAnsi="Times New Roman" w:eastAsia="仿宋_GB2312"/>
          <w:color w:val="auto"/>
          <w:sz w:val="32"/>
          <w:szCs w:val="32"/>
        </w:rPr>
        <w:t>与</w:t>
      </w:r>
      <w:r>
        <w:rPr>
          <w:rFonts w:hint="eastAsia" w:ascii="Times New Roman" w:hAnsi="Times New Roman"/>
          <w:color w:val="auto"/>
          <w:sz w:val="32"/>
          <w:szCs w:val="32"/>
          <w:lang w:val="en-US" w:eastAsia="zh-CN"/>
        </w:rPr>
        <w:t>遂宁市自然资源和规划局河东新区分局</w:t>
      </w:r>
      <w:r>
        <w:rPr>
          <w:rFonts w:hint="eastAsia" w:ascii="Times New Roman" w:hAnsi="Times New Roman" w:eastAsia="仿宋_GB2312"/>
          <w:color w:val="auto"/>
          <w:sz w:val="32"/>
          <w:szCs w:val="32"/>
        </w:rPr>
        <w:t>实行“一套班子、</w:t>
      </w:r>
      <w:r>
        <w:rPr>
          <w:rFonts w:hint="eastAsia" w:ascii="Times New Roman" w:hAnsi="Times New Roman"/>
          <w:color w:val="auto"/>
          <w:sz w:val="32"/>
          <w:szCs w:val="32"/>
          <w:lang w:val="en-US" w:eastAsia="zh-CN"/>
        </w:rPr>
        <w:t>两</w:t>
      </w:r>
      <w:r>
        <w:rPr>
          <w:rFonts w:hint="eastAsia" w:ascii="Times New Roman" w:hAnsi="Times New Roman" w:eastAsia="仿宋_GB2312"/>
          <w:color w:val="auto"/>
          <w:sz w:val="32"/>
          <w:szCs w:val="32"/>
        </w:rPr>
        <w:t>块牌子”的运行机制，内设综合办公室、</w:t>
      </w:r>
      <w:r>
        <w:rPr>
          <w:rFonts w:hint="eastAsia" w:ascii="Times New Roman" w:hAnsi="Times New Roman"/>
          <w:color w:val="auto"/>
          <w:sz w:val="32"/>
          <w:szCs w:val="32"/>
          <w:lang w:val="en-US" w:eastAsia="zh-CN"/>
        </w:rPr>
        <w:t>耕地保护监督</w:t>
      </w:r>
      <w:r>
        <w:rPr>
          <w:rFonts w:hint="eastAsia" w:ascii="Times New Roman" w:hAnsi="Times New Roman" w:eastAsia="仿宋_GB2312"/>
          <w:color w:val="auto"/>
          <w:sz w:val="32"/>
          <w:szCs w:val="32"/>
        </w:rPr>
        <w:t>股、</w:t>
      </w:r>
      <w:r>
        <w:rPr>
          <w:rFonts w:hint="eastAsia" w:ascii="Times New Roman" w:hAnsi="Times New Roman"/>
          <w:color w:val="auto"/>
          <w:sz w:val="32"/>
          <w:szCs w:val="32"/>
          <w:lang w:val="en-US" w:eastAsia="zh-CN"/>
        </w:rPr>
        <w:t>国土空间规划与用途管制</w:t>
      </w:r>
      <w:r>
        <w:rPr>
          <w:rFonts w:hint="eastAsia" w:ascii="Times New Roman" w:hAnsi="Times New Roman" w:eastAsia="仿宋_GB2312"/>
          <w:color w:val="auto"/>
          <w:sz w:val="32"/>
          <w:szCs w:val="32"/>
        </w:rPr>
        <w:t>股、</w:t>
      </w:r>
      <w:r>
        <w:rPr>
          <w:rFonts w:hint="eastAsia" w:ascii="Times New Roman" w:hAnsi="Times New Roman"/>
          <w:color w:val="auto"/>
          <w:sz w:val="32"/>
          <w:szCs w:val="32"/>
          <w:lang w:val="en-US" w:eastAsia="zh-CN"/>
        </w:rPr>
        <w:t>自然资源开发利用与权益</w:t>
      </w:r>
      <w:r>
        <w:rPr>
          <w:rFonts w:hint="eastAsia" w:ascii="Times New Roman" w:hAnsi="Times New Roman" w:eastAsia="仿宋_GB2312"/>
          <w:color w:val="auto"/>
          <w:sz w:val="32"/>
          <w:szCs w:val="32"/>
        </w:rPr>
        <w:t>股</w:t>
      </w:r>
      <w:r>
        <w:rPr>
          <w:rFonts w:hint="eastAsia" w:ascii="Times New Roman" w:hAnsi="Times New Roman"/>
          <w:color w:val="auto"/>
          <w:sz w:val="32"/>
          <w:szCs w:val="32"/>
          <w:lang w:eastAsia="zh-CN"/>
        </w:rPr>
        <w:t>、</w:t>
      </w:r>
      <w:r>
        <w:rPr>
          <w:rFonts w:hint="eastAsia" w:ascii="Times New Roman" w:hAnsi="Times New Roman"/>
          <w:color w:val="auto"/>
          <w:sz w:val="32"/>
          <w:szCs w:val="32"/>
          <w:lang w:val="en-US" w:eastAsia="zh-CN"/>
        </w:rPr>
        <w:t>地质环境股</w:t>
      </w:r>
      <w:r>
        <w:rPr>
          <w:rFonts w:hint="eastAsia" w:ascii="Times New Roman" w:hAnsi="Times New Roman"/>
          <w:color w:val="auto"/>
          <w:sz w:val="32"/>
          <w:szCs w:val="32"/>
          <w:lang w:eastAsia="zh-CN"/>
        </w:rPr>
        <w:t>、</w:t>
      </w:r>
      <w:r>
        <w:rPr>
          <w:rFonts w:hint="eastAsia" w:ascii="Times New Roman" w:hAnsi="Times New Roman"/>
          <w:color w:val="auto"/>
          <w:sz w:val="32"/>
          <w:szCs w:val="32"/>
          <w:lang w:val="en-US" w:eastAsia="zh-CN"/>
        </w:rPr>
        <w:t>建设工程规划管理股、执法</w:t>
      </w:r>
      <w:r>
        <w:rPr>
          <w:rFonts w:hint="eastAsia"/>
          <w:color w:val="auto"/>
          <w:sz w:val="32"/>
          <w:szCs w:val="32"/>
          <w:lang w:val="en-US" w:eastAsia="zh-CN"/>
        </w:rPr>
        <w:t>股</w:t>
      </w:r>
      <w:r>
        <w:rPr>
          <w:rFonts w:hint="eastAsia" w:ascii="Times New Roman" w:hAnsi="Times New Roman"/>
          <w:color w:val="auto"/>
          <w:sz w:val="32"/>
          <w:szCs w:val="32"/>
          <w:lang w:val="en-US" w:eastAsia="zh-CN"/>
        </w:rPr>
        <w:t>、林业管理股等8</w:t>
      </w:r>
      <w:r>
        <w:rPr>
          <w:rFonts w:hint="eastAsia" w:ascii="Times New Roman" w:hAnsi="Times New Roman" w:eastAsia="仿宋_GB2312"/>
          <w:color w:val="auto"/>
          <w:sz w:val="32"/>
          <w:szCs w:val="32"/>
        </w:rPr>
        <w:t>个股室</w:t>
      </w:r>
      <w:r>
        <w:rPr>
          <w:rFonts w:hint="eastAsia" w:ascii="Times New Roman" w:hAnsi="Times New Roman"/>
          <w:color w:val="auto"/>
          <w:sz w:val="32"/>
          <w:szCs w:val="32"/>
          <w:lang w:eastAsia="zh-CN"/>
        </w:rPr>
        <w:t>。</w:t>
      </w:r>
    </w:p>
    <w:p w14:paraId="6B4E43B3">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机构职能</w:t>
      </w:r>
    </w:p>
    <w:p w14:paraId="75A14089">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zh-CN" w:eastAsia="zh-CN"/>
        </w:rPr>
      </w:pPr>
      <w:r>
        <w:rPr>
          <w:rFonts w:hint="default" w:ascii="Times New Roman" w:hAnsi="Times New Roman" w:cs="仿宋_GB2312"/>
          <w:color w:val="auto"/>
          <w:kern w:val="0"/>
          <w:shd w:val="clear" w:color="auto" w:fill="FFFFFF"/>
          <w:lang w:val="en-US" w:eastAsia="zh-CN"/>
        </w:rPr>
        <w:t>其主要职责是承担遂宁市河东新区自然资源和规划的技术性、事务性工作。</w:t>
      </w:r>
    </w:p>
    <w:p w14:paraId="0EEBF259">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人员概况</w:t>
      </w:r>
    </w:p>
    <w:p w14:paraId="6255B156">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default" w:ascii="Times New Roman" w:hAnsi="Times New Roman" w:cs="仿宋_GB2312"/>
          <w:color w:val="auto"/>
          <w:kern w:val="0"/>
          <w:shd w:val="clear" w:color="auto" w:fill="FFFFFF"/>
          <w:lang w:val="en-US" w:eastAsia="zh-CN"/>
        </w:rPr>
        <w:t>截至202</w:t>
      </w:r>
      <w:r>
        <w:rPr>
          <w:rFonts w:hint="eastAsia" w:ascii="Times New Roman" w:hAnsi="Times New Roman" w:cs="仿宋_GB2312"/>
          <w:color w:val="auto"/>
          <w:kern w:val="0"/>
          <w:shd w:val="clear" w:color="auto" w:fill="FFFFFF"/>
          <w:lang w:val="en-US" w:eastAsia="zh-CN"/>
        </w:rPr>
        <w:t>4</w:t>
      </w:r>
      <w:r>
        <w:rPr>
          <w:rFonts w:hint="default" w:ascii="Times New Roman" w:hAnsi="Times New Roman" w:cs="仿宋_GB2312"/>
          <w:color w:val="auto"/>
          <w:kern w:val="0"/>
          <w:shd w:val="clear" w:color="auto" w:fill="FFFFFF"/>
          <w:lang w:val="en-US" w:eastAsia="zh-CN"/>
        </w:rPr>
        <w:t>年末，</w:t>
      </w:r>
      <w:r>
        <w:rPr>
          <w:rFonts w:hint="eastAsia" w:ascii="Times New Roman" w:hAnsi="Times New Roman" w:cs="仿宋_GB2312"/>
          <w:color w:val="auto"/>
          <w:kern w:val="0"/>
          <w:shd w:val="clear" w:color="auto" w:fill="FFFFFF"/>
          <w:lang w:val="en-US" w:eastAsia="zh-CN"/>
        </w:rPr>
        <w:t>中心事业编制人员7人。</w:t>
      </w:r>
    </w:p>
    <w:p w14:paraId="51ABA5FC">
      <w:pPr>
        <w:keepNext w:val="0"/>
        <w:keepLines w:val="0"/>
        <w:pageBreakBefore w:val="0"/>
        <w:widowControl/>
        <w:numPr>
          <w:ilvl w:val="0"/>
          <w:numId w:val="0"/>
        </w:numPr>
        <w:kinsoku/>
        <w:wordWrap/>
        <w:overflowPunct/>
        <w:topLinePunct w:val="0"/>
        <w:autoSpaceDE/>
        <w:autoSpaceDN/>
        <w:bidi w:val="0"/>
        <w:adjustRightInd/>
        <w:snapToGrid/>
        <w:spacing w:line="579"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二、</w:t>
      </w:r>
      <w:r>
        <w:rPr>
          <w:rFonts w:hint="default" w:ascii="Times New Roman" w:hAnsi="Times New Roman" w:eastAsia="黑体" w:cs="Times New Roman"/>
          <w:color w:val="000000"/>
          <w:kern w:val="0"/>
          <w:sz w:val="32"/>
          <w:szCs w:val="32"/>
          <w:highlight w:val="none"/>
          <w:shd w:val="clear" w:color="auto" w:fill="FFFFFF"/>
          <w:lang w:val="zh-CN" w:eastAsia="zh-CN"/>
        </w:rPr>
        <w:t>部门</w:t>
      </w:r>
      <w:r>
        <w:rPr>
          <w:rFonts w:hint="default" w:ascii="Times New Roman" w:hAnsi="Times New Roman" w:eastAsia="黑体" w:cs="Times New Roman"/>
          <w:color w:val="000000"/>
          <w:kern w:val="0"/>
          <w:sz w:val="32"/>
          <w:szCs w:val="32"/>
          <w:highlight w:val="none"/>
          <w:shd w:val="clear" w:color="auto" w:fill="FFFFFF"/>
          <w:lang w:val="zh-CN"/>
        </w:rPr>
        <w:t>资金收支情况</w:t>
      </w:r>
    </w:p>
    <w:p w14:paraId="72B77E1B">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sectPr>
          <w:headerReference r:id="rId3" w:type="default"/>
          <w:pgSz w:w="11906" w:h="16838"/>
          <w:pgMar w:top="2098" w:right="1474" w:bottom="1984" w:left="1587" w:header="851" w:footer="1049" w:gutter="0"/>
          <w:pgNumType w:fmt="numberInDash"/>
          <w:cols w:space="0" w:num="1"/>
          <w:rtlGutter w:val="0"/>
          <w:docGrid w:type="lines" w:linePitch="436" w:charSpace="0"/>
        </w:sectPr>
      </w:pPr>
    </w:p>
    <w:p w14:paraId="79F3E7CF">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eastAsia"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收入情况</w:t>
      </w:r>
    </w:p>
    <w:p w14:paraId="26391A7D">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河东自规中心2024年年初预算财政拨款收入139.63万元，其中基本支出117.92万元，</w:t>
      </w:r>
      <w:r>
        <w:rPr>
          <w:rFonts w:hint="eastAsia" w:ascii="Times New Roman" w:hAnsi="Times New Roman" w:cs="仿宋_GB2312"/>
          <w:color w:val="auto"/>
          <w:kern w:val="0"/>
          <w:shd w:val="clear" w:color="auto" w:fill="FFFFFF"/>
          <w:lang w:val="zh-CN" w:eastAsia="zh-CN"/>
        </w:rPr>
        <w:t>政府性基金预算项目支出</w:t>
      </w:r>
      <w:r>
        <w:rPr>
          <w:rFonts w:hint="eastAsia" w:ascii="Times New Roman" w:hAnsi="Times New Roman" w:cs="仿宋_GB2312"/>
          <w:color w:val="auto"/>
          <w:kern w:val="0"/>
          <w:shd w:val="clear" w:color="auto" w:fill="FFFFFF"/>
          <w:lang w:val="en-US" w:eastAsia="zh-CN"/>
        </w:rPr>
        <w:t>21.71</w:t>
      </w:r>
      <w:r>
        <w:rPr>
          <w:rFonts w:hint="eastAsia" w:ascii="Times New Roman" w:hAnsi="Times New Roman" w:cs="仿宋_GB2312"/>
          <w:color w:val="auto"/>
          <w:kern w:val="0"/>
          <w:shd w:val="clear" w:color="auto" w:fill="FFFFFF"/>
          <w:lang w:val="zh-CN" w:eastAsia="zh-CN"/>
        </w:rPr>
        <w:t>万元；</w:t>
      </w:r>
      <w:r>
        <w:rPr>
          <w:rFonts w:hint="eastAsia" w:ascii="Times New Roman" w:hAnsi="Times New Roman" w:cs="仿宋_GB2312"/>
          <w:color w:val="auto"/>
          <w:kern w:val="0"/>
          <w:shd w:val="clear" w:color="auto" w:fill="FFFFFF"/>
          <w:lang w:val="en-US" w:eastAsia="zh-CN"/>
        </w:rPr>
        <w:t>决算收入153.98万元，其中基本支出133.48万元，</w:t>
      </w:r>
      <w:r>
        <w:rPr>
          <w:rFonts w:hint="eastAsia" w:ascii="Times New Roman" w:hAnsi="Times New Roman" w:cs="仿宋_GB2312"/>
          <w:color w:val="auto"/>
          <w:kern w:val="0"/>
          <w:shd w:val="clear" w:color="auto" w:fill="FFFFFF"/>
          <w:lang w:val="zh-CN" w:eastAsia="zh-CN"/>
        </w:rPr>
        <w:t>政府性基金预算项目支出</w:t>
      </w:r>
      <w:r>
        <w:rPr>
          <w:rFonts w:hint="eastAsia" w:ascii="Times New Roman" w:hAnsi="Times New Roman" w:cs="仿宋_GB2312"/>
          <w:color w:val="auto"/>
          <w:kern w:val="0"/>
          <w:shd w:val="clear" w:color="auto" w:fill="FFFFFF"/>
          <w:lang w:val="en-US" w:eastAsia="zh-CN"/>
        </w:rPr>
        <w:t>20.5</w:t>
      </w:r>
      <w:r>
        <w:rPr>
          <w:rFonts w:hint="eastAsia" w:ascii="Times New Roman" w:hAnsi="Times New Roman" w:cs="仿宋_GB2312"/>
          <w:color w:val="auto"/>
          <w:kern w:val="0"/>
          <w:shd w:val="clear" w:color="auto" w:fill="FFFFFF"/>
          <w:lang w:val="zh-CN" w:eastAsia="zh-CN"/>
        </w:rPr>
        <w:t>万元。</w:t>
      </w:r>
    </w:p>
    <w:p w14:paraId="5CA6E076">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eastAsia" w:ascii="Times New Roman" w:hAnsi="Times New Roman" w:eastAsia="楷体_GB2312" w:cs="Times New Roman"/>
          <w:b w:val="0"/>
          <w:b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（二）支出情况</w:t>
      </w:r>
    </w:p>
    <w:p w14:paraId="4FF41CD8">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zh-CN" w:eastAsia="zh-CN"/>
        </w:rPr>
      </w:pPr>
      <w:r>
        <w:rPr>
          <w:rFonts w:hint="eastAsia" w:ascii="Times New Roman" w:hAnsi="Times New Roman" w:cs="仿宋_GB2312"/>
          <w:color w:val="auto"/>
          <w:kern w:val="0"/>
          <w:shd w:val="clear" w:color="auto" w:fill="FFFFFF"/>
          <w:lang w:val="en-US" w:eastAsia="zh-CN"/>
        </w:rPr>
        <w:t>2024年年初预算财政拨款支出139.63万元，决算报表支出153.98万元。</w:t>
      </w:r>
    </w:p>
    <w:p w14:paraId="38D8E17F">
      <w:pPr>
        <w:keepNext w:val="0"/>
        <w:keepLines w:val="0"/>
        <w:pageBreakBefore w:val="0"/>
        <w:widowControl/>
        <w:numPr>
          <w:ilvl w:val="0"/>
          <w:numId w:val="0"/>
        </w:numPr>
        <w:kinsoku/>
        <w:wordWrap/>
        <w:overflowPunct/>
        <w:topLinePunct w:val="0"/>
        <w:autoSpaceDE/>
        <w:autoSpaceDN/>
        <w:bidi w:val="0"/>
        <w:adjustRightInd/>
        <w:snapToGrid/>
        <w:spacing w:line="579"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三、部门</w:t>
      </w:r>
      <w:r>
        <w:rPr>
          <w:rFonts w:hint="default" w:ascii="Times New Roman" w:hAnsi="Times New Roman" w:eastAsia="黑体" w:cs="Times New Roman"/>
          <w:color w:val="000000"/>
          <w:kern w:val="0"/>
          <w:sz w:val="32"/>
          <w:szCs w:val="32"/>
          <w:highlight w:val="none"/>
          <w:shd w:val="clear" w:color="auto" w:fill="FFFFFF"/>
          <w:lang w:val="zh-CN" w:eastAsia="zh-CN"/>
        </w:rPr>
        <w:t>预算</w:t>
      </w:r>
      <w:r>
        <w:rPr>
          <w:rFonts w:hint="default" w:ascii="Times New Roman" w:hAnsi="Times New Roman" w:eastAsia="黑体" w:cs="Times New Roman"/>
          <w:color w:val="000000"/>
          <w:kern w:val="0"/>
          <w:sz w:val="32"/>
          <w:szCs w:val="32"/>
          <w:highlight w:val="none"/>
          <w:shd w:val="clear" w:color="auto" w:fill="FFFFFF"/>
          <w:lang w:val="zh-CN"/>
        </w:rPr>
        <w:t>绩效</w:t>
      </w:r>
      <w:r>
        <w:rPr>
          <w:rFonts w:hint="default" w:ascii="Times New Roman" w:hAnsi="Times New Roman" w:eastAsia="黑体" w:cs="Times New Roman"/>
          <w:color w:val="000000"/>
          <w:kern w:val="0"/>
          <w:sz w:val="32"/>
          <w:szCs w:val="32"/>
          <w:highlight w:val="none"/>
          <w:shd w:val="clear" w:color="auto" w:fill="FFFFFF"/>
          <w:lang w:val="zh-CN" w:eastAsia="zh-CN"/>
        </w:rPr>
        <w:t>分析</w:t>
      </w:r>
    </w:p>
    <w:p w14:paraId="3ABA90D7">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部门预算</w:t>
      </w:r>
      <w:r>
        <w:rPr>
          <w:rFonts w:hint="default" w:ascii="Times New Roman" w:hAnsi="Times New Roman" w:eastAsia="楷体_GB2312" w:cs="Times New Roman"/>
          <w:b w:val="0"/>
          <w:bCs w:val="0"/>
          <w:color w:val="000000"/>
          <w:kern w:val="0"/>
          <w:sz w:val="32"/>
          <w:szCs w:val="32"/>
          <w:highlight w:val="none"/>
          <w:shd w:val="clear" w:color="auto" w:fill="FFFFFF"/>
          <w:lang w:val="zh-CN"/>
        </w:rPr>
        <w:t>总体绩效分析</w:t>
      </w:r>
    </w:p>
    <w:p w14:paraId="3E7F93E8">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1.履职效能</w:t>
      </w:r>
    </w:p>
    <w:p w14:paraId="701646F1">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一是持续推进耕地保护工作。全面完成2023年承诺耕地种植图斑整改举证工作；积极推进省级双月动态监测流出耕地恢复整改工作，完成一般耕地恢复整改102.3亩，有序找回永久基本农田32.51亩；全力推进2024年国家变更调查下发流出耕地恢复整改工作，完成一般耕地恢复整改66.49亩，完成永久基本农田原地整改17.18亩；常态化推进新增耕地开垦工作，新增流入耕地300.75亩，全力找补耕地缺口，做好2024年耕地保护党政同责考核迎考工作。</w:t>
      </w:r>
    </w:p>
    <w:p w14:paraId="149F4DA6">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二是全面落实田长制工作要求。动态更新三级田长及网格员77名，制发2024年田长制工作要点，用好用活巡田APP，实现各级田长实质巡田，确保耕地保护责任全覆盖。今年，新区各级田长共开展巡田6020次，发现处置问题79个。邀请省田长办专家对乡、村级田长和网格员开展专题培训，有效提高各级田长巡田质效。</w:t>
      </w:r>
    </w:p>
    <w:p w14:paraId="4BF8931A">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三是严格耕地执法监管。认真开展卫片监测图斑核实和系统填报工作，完成1个部下发卫片监测图斑以及124个厅下发审计反馈疑似违法违规变化图斑的合法性判定举证及系统填报工作。积极推进历年存量违法用地问题图斑整改，坚决遏制耕地“非农化”，25个纳入整改台账的存量违法用地问题，通过拆除复耕、完善用地手续等方式已完成整改销号21个。</w:t>
      </w:r>
    </w:p>
    <w:p w14:paraId="0EB724FB">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四</w:t>
      </w:r>
      <w:r>
        <w:rPr>
          <w:rFonts w:hint="default" w:ascii="Times New Roman" w:hAnsi="Times New Roman" w:cs="仿宋_GB2312"/>
          <w:color w:val="auto"/>
          <w:kern w:val="0"/>
          <w:shd w:val="clear" w:color="auto" w:fill="FFFFFF"/>
          <w:lang w:val="en-US" w:eastAsia="zh-CN"/>
        </w:rPr>
        <w:t>是</w:t>
      </w:r>
      <w:r>
        <w:rPr>
          <w:rFonts w:hint="eastAsia" w:ascii="Times New Roman" w:hAnsi="Times New Roman" w:cs="仿宋_GB2312"/>
          <w:color w:val="auto"/>
          <w:kern w:val="0"/>
          <w:shd w:val="clear" w:color="auto" w:fill="FFFFFF"/>
          <w:lang w:val="en-US" w:eastAsia="zh-CN"/>
        </w:rPr>
        <w:t>做好</w:t>
      </w:r>
      <w:r>
        <w:rPr>
          <w:rFonts w:hint="default" w:ascii="Times New Roman" w:hAnsi="Times New Roman" w:cs="仿宋_GB2312"/>
          <w:color w:val="auto"/>
          <w:kern w:val="0"/>
          <w:shd w:val="clear" w:color="auto" w:fill="FFFFFF"/>
          <w:lang w:val="en-US" w:eastAsia="zh-CN"/>
        </w:rPr>
        <w:t>地灾防治工作。重点对新区2处地灾隐患点、17处销号点、7处在建工程开展地灾三查工作，共开展隐患排查78次，宣传培训22次，发放“两卡一表”21份，发布预警信号16次，启动预警响应7次，累计避险转移7次65人。针对杨渡街道姜家巷社区关山坡边坡滑坡，组织专业技术人员赶赴现场开展应急调查1次，并提出调查结论和防治建议。</w:t>
      </w:r>
    </w:p>
    <w:p w14:paraId="5576BAB5">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2.预算管理</w:t>
      </w:r>
    </w:p>
    <w:p w14:paraId="7D539E24">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中心2024年财政收支年初预算139.63万元，实际拨款收入153.98万元。其中，基本支出年初预算数117.92万元，实际拨款收入133.48万元；项目支出年初预算数21.71万元，实际拨款收入20.5万元。社会保障和就业支出年初预算11.万元，实际拨款收入12.84万元。卫生健康支出年初预算5.29万元，实际拨款收入5.29万元。城乡社区支出年初预算21.71万元，实际拨款收入20.5万元。自然资源海洋气象等年初预算90.56万元，实际拨款收入104.58万元。住房保障年初预算10.77万元，实际拨款收入10.77万元。</w:t>
      </w:r>
    </w:p>
    <w:p w14:paraId="66BF1BC3">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2024年财政收支年初预算支出139.63万元较2023年的144.89万元减少5.26万元。</w:t>
      </w:r>
    </w:p>
    <w:p w14:paraId="76ED6382">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2024年实际财政拨款支出153.98万元较2023年的实际拨财政款支出153.59万元增加0.39万元。主要是基本支出增加4.06万元，项目支出减少3.67万元。社会保障和就业支出增加0.41万元，卫生健康支出增加1.2万元，城乡社区支出减少3.67万元，自然资源海洋气象等支出增加2.26万元，住房保障支出增加0.19万元。</w:t>
      </w:r>
    </w:p>
    <w:p w14:paraId="6F123A2B">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3.资产管理</w:t>
      </w:r>
    </w:p>
    <w:p w14:paraId="03445519">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（1）人均资产变化率</w:t>
      </w:r>
    </w:p>
    <w:p w14:paraId="48288C42">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default" w:ascii="Times New Roman" w:hAnsi="Times New Roman" w:cs="仿宋_GB2312"/>
          <w:color w:val="auto"/>
          <w:kern w:val="0"/>
          <w:shd w:val="clear" w:color="auto" w:fill="FFFFFF"/>
          <w:lang w:val="en-US" w:eastAsia="zh-CN"/>
        </w:rPr>
        <w:t>根据2024年部门决算报表、部门预算报表及部门行政事业性国有资产报表资料</w:t>
      </w:r>
      <w:r>
        <w:rPr>
          <w:rFonts w:hint="eastAsia" w:ascii="Times New Roman" w:hAnsi="Times New Roman" w:cs="仿宋_GB2312"/>
          <w:color w:val="auto"/>
          <w:kern w:val="0"/>
          <w:shd w:val="clear" w:color="auto" w:fill="FFFFFF"/>
          <w:lang w:val="en-US" w:eastAsia="zh-CN"/>
        </w:rPr>
        <w:t>，</w:t>
      </w:r>
      <w:r>
        <w:rPr>
          <w:rFonts w:hint="default" w:ascii="Times New Roman" w:hAnsi="Times New Roman" w:cs="仿宋_GB2312"/>
          <w:color w:val="auto"/>
          <w:kern w:val="0"/>
          <w:shd w:val="clear" w:color="auto" w:fill="FFFFFF"/>
          <w:lang w:val="en-US" w:eastAsia="zh-CN"/>
        </w:rPr>
        <w:t>人均资产变化率</w:t>
      </w:r>
      <w:r>
        <w:rPr>
          <w:rFonts w:hint="eastAsia" w:ascii="Times New Roman" w:hAnsi="Times New Roman" w:cs="仿宋_GB2312"/>
          <w:color w:val="auto"/>
          <w:kern w:val="0"/>
          <w:shd w:val="clear" w:color="auto" w:fill="FFFFFF"/>
          <w:lang w:val="en-US" w:eastAsia="zh-CN"/>
        </w:rPr>
        <w:t>-64</w:t>
      </w:r>
      <w:r>
        <w:rPr>
          <w:rFonts w:hint="default" w:ascii="Times New Roman" w:hAnsi="Times New Roman" w:cs="仿宋_GB2312"/>
          <w:color w:val="auto"/>
          <w:kern w:val="0"/>
          <w:shd w:val="clear" w:color="auto" w:fill="FFFFFF"/>
          <w:lang w:val="en-US" w:eastAsia="zh-CN"/>
        </w:rPr>
        <w:t>%</w:t>
      </w:r>
      <w:r>
        <w:rPr>
          <w:rFonts w:hint="eastAsia" w:ascii="Times New Roman" w:hAnsi="Times New Roman" w:cs="仿宋_GB2312"/>
          <w:color w:val="auto"/>
          <w:kern w:val="0"/>
          <w:shd w:val="clear" w:color="auto" w:fill="FFFFFF"/>
          <w:lang w:val="en-US" w:eastAsia="zh-CN"/>
        </w:rPr>
        <w:t>（</w:t>
      </w:r>
      <w:r>
        <w:rPr>
          <w:rFonts w:hint="default" w:ascii="Times New Roman" w:hAnsi="Times New Roman" w:cs="仿宋_GB2312"/>
          <w:color w:val="auto"/>
          <w:kern w:val="0"/>
          <w:shd w:val="clear" w:color="auto" w:fill="FFFFFF"/>
          <w:lang w:val="en-US" w:eastAsia="zh-CN"/>
        </w:rPr>
        <w:t>其中2024年行政事业单位人均占有资产</w:t>
      </w:r>
      <w:r>
        <w:rPr>
          <w:rFonts w:hint="eastAsia" w:ascii="Times New Roman" w:hAnsi="Times New Roman" w:cs="仿宋_GB2312"/>
          <w:color w:val="auto"/>
          <w:kern w:val="0"/>
          <w:shd w:val="clear" w:color="auto" w:fill="FFFFFF"/>
          <w:lang w:val="en-US" w:eastAsia="zh-CN"/>
        </w:rPr>
        <w:t>1.87</w:t>
      </w:r>
      <w:r>
        <w:rPr>
          <w:rFonts w:hint="default" w:ascii="Times New Roman" w:hAnsi="Times New Roman" w:cs="仿宋_GB2312"/>
          <w:color w:val="auto"/>
          <w:kern w:val="0"/>
          <w:shd w:val="clear" w:color="auto" w:fill="FFFFFF"/>
          <w:lang w:val="en-US" w:eastAsia="zh-CN"/>
        </w:rPr>
        <w:t>万元</w:t>
      </w:r>
      <w:r>
        <w:rPr>
          <w:rFonts w:hint="eastAsia" w:ascii="Times New Roman" w:hAnsi="Times New Roman" w:cs="仿宋_GB2312"/>
          <w:color w:val="auto"/>
          <w:kern w:val="0"/>
          <w:shd w:val="clear" w:color="auto" w:fill="FFFFFF"/>
          <w:lang w:val="en-US" w:eastAsia="zh-CN"/>
        </w:rPr>
        <w:t>/</w:t>
      </w:r>
      <w:r>
        <w:rPr>
          <w:rFonts w:hint="default" w:ascii="Times New Roman" w:hAnsi="Times New Roman" w:cs="仿宋_GB2312"/>
          <w:color w:val="auto"/>
          <w:kern w:val="0"/>
          <w:shd w:val="clear" w:color="auto" w:fill="FFFFFF"/>
          <w:lang w:val="en-US" w:eastAsia="zh-CN"/>
        </w:rPr>
        <w:t>人、2023年行政事业单位人均占有资产</w:t>
      </w:r>
      <w:r>
        <w:rPr>
          <w:rFonts w:hint="eastAsia" w:ascii="Times New Roman" w:hAnsi="Times New Roman" w:cs="仿宋_GB2312"/>
          <w:color w:val="auto"/>
          <w:kern w:val="0"/>
          <w:shd w:val="clear" w:color="auto" w:fill="FFFFFF"/>
          <w:lang w:val="en-US" w:eastAsia="zh-CN"/>
        </w:rPr>
        <w:t>5.23</w:t>
      </w:r>
      <w:r>
        <w:rPr>
          <w:rFonts w:hint="default" w:ascii="Times New Roman" w:hAnsi="Times New Roman" w:cs="仿宋_GB2312"/>
          <w:color w:val="auto"/>
          <w:kern w:val="0"/>
          <w:shd w:val="clear" w:color="auto" w:fill="FFFFFF"/>
          <w:lang w:val="en-US" w:eastAsia="zh-CN"/>
        </w:rPr>
        <w:t>万元/人)。根据《部门整体支出绩效自评打分表》的评分说明本项指标权重3分、得分</w:t>
      </w:r>
      <w:r>
        <w:rPr>
          <w:rFonts w:hint="eastAsia" w:ascii="Times New Roman" w:hAnsi="Times New Roman" w:cs="仿宋_GB2312"/>
          <w:color w:val="auto"/>
          <w:kern w:val="0"/>
          <w:shd w:val="clear" w:color="auto" w:fill="FFFFFF"/>
          <w:lang w:val="en-US" w:eastAsia="zh-CN"/>
        </w:rPr>
        <w:t>3</w:t>
      </w:r>
      <w:r>
        <w:rPr>
          <w:rFonts w:hint="default" w:ascii="Times New Roman" w:hAnsi="Times New Roman" w:cs="仿宋_GB2312"/>
          <w:color w:val="auto"/>
          <w:kern w:val="0"/>
          <w:shd w:val="clear" w:color="auto" w:fill="FFFFFF"/>
          <w:lang w:val="en-US" w:eastAsia="zh-CN"/>
        </w:rPr>
        <w:t>分。</w:t>
      </w:r>
    </w:p>
    <w:p w14:paraId="4D33D3AC">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（2）资产利用率和资产盘活率</w:t>
      </w:r>
    </w:p>
    <w:p w14:paraId="4EE4C154">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中心不存在资产超最低使用年限、闲置一年以上的资产情况。</w:t>
      </w:r>
    </w:p>
    <w:p w14:paraId="425FE80C">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4.财务管理</w:t>
      </w:r>
    </w:p>
    <w:p w14:paraId="058AA343">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财务管理规范，财务规章制度建立健全，制度执行严格合规，严格按照《行政单位会计制度》和相关规定会计核算，按照专项资金管理办法管理各类专项资金，做到了专项专用，资金支付依据充分、材料完整，开支范围、开支标准合法合规，无虚假冒领、挤占挪用、改变资金用途、扩大支出范围等违法违规问题，对相关项目进行了自查，在财政及上级专项检查中未发现相关违纪违规问题</w:t>
      </w:r>
      <w:r>
        <w:rPr>
          <w:rFonts w:hint="eastAsia" w:ascii="Times New Roman" w:hAnsi="Times New Roman" w:cs="仿宋_GB2312"/>
          <w:color w:val="auto"/>
          <w:kern w:val="0"/>
          <w:shd w:val="clear" w:color="auto" w:fill="FFFFFF"/>
          <w:lang w:val="zh-CN" w:eastAsia="zh-CN"/>
        </w:rPr>
        <w:t>。</w:t>
      </w:r>
    </w:p>
    <w:p w14:paraId="100F046E">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p>
    <w:p w14:paraId="11F25A6E">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zh-CN" w:eastAsia="zh-CN"/>
        </w:rPr>
      </w:pPr>
      <w:r>
        <w:rPr>
          <w:rFonts w:hint="default" w:ascii="Times New Roman" w:hAnsi="Times New Roman" w:cs="仿宋_GB2312"/>
          <w:color w:val="auto"/>
          <w:kern w:val="0"/>
          <w:shd w:val="clear" w:color="auto" w:fill="FFFFFF"/>
          <w:lang w:val="en-US" w:eastAsia="zh-CN"/>
        </w:rPr>
        <w:t>常年项目</w:t>
      </w:r>
      <w:r>
        <w:rPr>
          <w:rFonts w:hint="default" w:ascii="Times New Roman" w:hAnsi="Times New Roman" w:cs="仿宋_GB2312"/>
          <w:color w:val="auto"/>
          <w:kern w:val="0"/>
          <w:shd w:val="clear" w:color="auto" w:fill="FFFFFF"/>
          <w:lang w:val="zh-CN" w:eastAsia="zh-CN"/>
        </w:rPr>
        <w:t>总数</w:t>
      </w:r>
      <w:r>
        <w:rPr>
          <w:rFonts w:hint="eastAsia" w:ascii="Times New Roman" w:hAnsi="Times New Roman" w:cs="仿宋_GB2312"/>
          <w:color w:val="auto"/>
          <w:kern w:val="0"/>
          <w:shd w:val="clear" w:color="auto" w:fill="FFFFFF"/>
          <w:lang w:val="en-US" w:eastAsia="zh-CN"/>
        </w:rPr>
        <w:t>3</w:t>
      </w:r>
      <w:r>
        <w:rPr>
          <w:rFonts w:hint="default" w:ascii="Times New Roman" w:hAnsi="Times New Roman" w:cs="仿宋_GB2312"/>
          <w:color w:val="auto"/>
          <w:kern w:val="0"/>
          <w:shd w:val="clear" w:color="auto" w:fill="FFFFFF"/>
          <w:lang w:val="zh-CN" w:eastAsia="zh-CN"/>
        </w:rPr>
        <w:t>个，涉及预算总金额</w:t>
      </w:r>
      <w:r>
        <w:rPr>
          <w:rFonts w:hint="eastAsia" w:ascii="Times New Roman" w:hAnsi="Times New Roman" w:cs="仿宋_GB2312"/>
          <w:color w:val="auto"/>
          <w:kern w:val="0"/>
          <w:shd w:val="clear" w:color="auto" w:fill="FFFFFF"/>
          <w:lang w:val="en-US" w:eastAsia="zh-CN"/>
        </w:rPr>
        <w:t>21.71</w:t>
      </w:r>
      <w:r>
        <w:rPr>
          <w:rFonts w:hint="default" w:ascii="Times New Roman" w:hAnsi="Times New Roman" w:cs="仿宋_GB2312"/>
          <w:color w:val="auto"/>
          <w:kern w:val="0"/>
          <w:shd w:val="clear" w:color="auto" w:fill="FFFFFF"/>
          <w:lang w:val="zh-CN" w:eastAsia="zh-CN"/>
        </w:rPr>
        <w:t>万元，1</w:t>
      </w:r>
      <w:r>
        <w:rPr>
          <w:rFonts w:hint="eastAsia" w:ascii="Times New Roman" w:hAnsi="Times New Roman" w:cs="仿宋_GB2312"/>
          <w:color w:val="auto"/>
          <w:kern w:val="0"/>
          <w:shd w:val="clear" w:color="auto" w:fill="FFFFFF"/>
          <w:lang w:val="zh-CN" w:eastAsia="zh-CN"/>
        </w:rPr>
        <w:t>—</w:t>
      </w:r>
      <w:r>
        <w:rPr>
          <w:rFonts w:hint="default" w:ascii="Times New Roman" w:hAnsi="Times New Roman" w:cs="仿宋_GB2312"/>
          <w:color w:val="auto"/>
          <w:kern w:val="0"/>
          <w:shd w:val="clear" w:color="auto" w:fill="FFFFFF"/>
          <w:lang w:val="zh-CN" w:eastAsia="zh-CN"/>
        </w:rPr>
        <w:t>1</w:t>
      </w:r>
      <w:r>
        <w:rPr>
          <w:rFonts w:hint="default" w:ascii="Times New Roman" w:hAnsi="Times New Roman" w:cs="仿宋_GB2312"/>
          <w:color w:val="auto"/>
          <w:kern w:val="0"/>
          <w:shd w:val="clear" w:color="auto" w:fill="FFFFFF"/>
          <w:lang w:val="en-US" w:eastAsia="zh-CN"/>
        </w:rPr>
        <w:t>2</w:t>
      </w:r>
      <w:r>
        <w:rPr>
          <w:rFonts w:hint="default" w:ascii="Times New Roman" w:hAnsi="Times New Roman" w:cs="仿宋_GB2312"/>
          <w:color w:val="auto"/>
          <w:kern w:val="0"/>
          <w:shd w:val="clear" w:color="auto" w:fill="FFFFFF"/>
          <w:lang w:val="zh-CN" w:eastAsia="zh-CN"/>
        </w:rPr>
        <w:t>月预算执行总体进度为</w:t>
      </w:r>
      <w:r>
        <w:rPr>
          <w:rFonts w:hint="eastAsia" w:ascii="Times New Roman" w:hAnsi="Times New Roman" w:cs="仿宋_GB2312"/>
          <w:color w:val="auto"/>
          <w:kern w:val="0"/>
          <w:shd w:val="clear" w:color="auto" w:fill="FFFFFF"/>
          <w:lang w:val="en-US" w:eastAsia="zh-CN"/>
        </w:rPr>
        <w:t>90.76</w:t>
      </w:r>
      <w:r>
        <w:rPr>
          <w:rFonts w:hint="default" w:ascii="Times New Roman" w:hAnsi="Times New Roman" w:cs="仿宋_GB2312"/>
          <w:color w:val="auto"/>
          <w:kern w:val="0"/>
          <w:shd w:val="clear" w:color="auto" w:fill="FFFFFF"/>
          <w:lang w:val="zh-CN" w:eastAsia="zh-CN"/>
        </w:rPr>
        <w:t>%，其中：预算结余率大于</w:t>
      </w:r>
      <w:r>
        <w:rPr>
          <w:rFonts w:hint="default" w:ascii="Times New Roman" w:hAnsi="Times New Roman" w:cs="仿宋_GB2312"/>
          <w:color w:val="auto"/>
          <w:kern w:val="0"/>
          <w:shd w:val="clear" w:color="auto" w:fill="FFFFFF"/>
          <w:lang w:val="en-US" w:eastAsia="zh-CN"/>
        </w:rPr>
        <w:t>10%</w:t>
      </w:r>
      <w:r>
        <w:rPr>
          <w:rFonts w:hint="default" w:ascii="Times New Roman" w:hAnsi="Times New Roman" w:cs="仿宋_GB2312"/>
          <w:color w:val="auto"/>
          <w:kern w:val="0"/>
          <w:shd w:val="clear" w:color="auto" w:fill="FFFFFF"/>
          <w:lang w:val="zh-CN" w:eastAsia="zh-CN"/>
        </w:rPr>
        <w:t>的项目共计</w:t>
      </w:r>
      <w:r>
        <w:rPr>
          <w:rFonts w:hint="eastAsia" w:ascii="Times New Roman" w:hAnsi="Times New Roman" w:cs="仿宋_GB2312"/>
          <w:color w:val="auto"/>
          <w:kern w:val="0"/>
          <w:shd w:val="clear" w:color="auto" w:fill="FFFFFF"/>
          <w:lang w:val="en-US" w:eastAsia="zh-CN"/>
        </w:rPr>
        <w:t>1</w:t>
      </w:r>
      <w:r>
        <w:rPr>
          <w:rFonts w:hint="default" w:ascii="Times New Roman" w:hAnsi="Times New Roman" w:cs="仿宋_GB2312"/>
          <w:color w:val="auto"/>
          <w:kern w:val="0"/>
          <w:shd w:val="clear" w:color="auto" w:fill="FFFFFF"/>
          <w:lang w:val="zh-CN" w:eastAsia="zh-CN"/>
        </w:rPr>
        <w:t>个。</w:t>
      </w:r>
    </w:p>
    <w:p w14:paraId="5BD2B365">
      <w:pPr>
        <w:keepNext w:val="0"/>
        <w:keepLines w:val="0"/>
        <w:pageBreakBefore w:val="0"/>
        <w:kinsoku/>
        <w:wordWrap/>
        <w:overflowPunct/>
        <w:topLinePunct w:val="0"/>
        <w:autoSpaceDE/>
        <w:autoSpaceDN/>
        <w:bidi w:val="0"/>
        <w:adjustRightInd w:val="0"/>
        <w:snapToGrid w:val="0"/>
        <w:spacing w:line="579" w:lineRule="exact"/>
        <w:ind w:leftChars="0" w:firstLine="720"/>
        <w:jc w:val="both"/>
        <w:textAlignment w:val="auto"/>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）绩效结果应用情况</w:t>
      </w:r>
    </w:p>
    <w:p w14:paraId="4E2592BA">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中心在执行各项资金预算中，严格按照省、市各级财务规定，管好、用好每笔资金。</w:t>
      </w:r>
    </w:p>
    <w:p w14:paraId="78265F74">
      <w:pPr>
        <w:keepNext w:val="0"/>
        <w:keepLines w:val="0"/>
        <w:pageBreakBefore w:val="0"/>
        <w:widowControl/>
        <w:numPr>
          <w:ilvl w:val="0"/>
          <w:numId w:val="0"/>
        </w:numPr>
        <w:kinsoku/>
        <w:wordWrap/>
        <w:overflowPunct/>
        <w:topLinePunct w:val="0"/>
        <w:autoSpaceDE/>
        <w:autoSpaceDN/>
        <w:bidi w:val="0"/>
        <w:adjustRightInd/>
        <w:snapToGrid/>
        <w:spacing w:line="579"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0AFBD22">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p>
    <w:p w14:paraId="43EB8F4E">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按照项目计划，有序推进。绩效目标是预算编制的前提和基础，按照“费随事定”的原则，2024年所有专用项目和整体支出都按要求编制了绩效目标，从项目完成、项目效益、满意度等方面设置了绩效指标，综合反映项目预期完成的数量、成本、时效、质量，预期达到的社会效益、经济效益、生态效益、可持续影响以及服务对象满意度等情况。</w:t>
      </w:r>
    </w:p>
    <w:p w14:paraId="07F702C6">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存在问题</w:t>
      </w:r>
    </w:p>
    <w:p w14:paraId="5640E640">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color w:val="auto"/>
          <w:kern w:val="0"/>
          <w:shd w:val="clear" w:color="auto" w:fill="FFFFFF"/>
          <w:lang w:val="en-US" w:eastAsia="zh-CN"/>
        </w:rPr>
        <w:t>因项目合同未达支付时间，无法提前支付。专项资金还需进一步规范，完成年度目标任务。</w:t>
      </w:r>
    </w:p>
    <w:p w14:paraId="18683381">
      <w:pPr>
        <w:keepNext w:val="0"/>
        <w:keepLines w:val="0"/>
        <w:pageBreakBefore w:val="0"/>
        <w:kinsoku/>
        <w:wordWrap/>
        <w:overflowPunct/>
        <w:topLinePunct w:val="0"/>
        <w:autoSpaceDE/>
        <w:autoSpaceDN/>
        <w:bidi w:val="0"/>
        <w:adjustRightInd w:val="0"/>
        <w:snapToGrid w:val="0"/>
        <w:spacing w:line="579" w:lineRule="exact"/>
        <w:ind w:leftChars="0" w:firstLine="720"/>
        <w:jc w:val="left"/>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改进建议</w:t>
      </w:r>
      <w:bookmarkStart w:id="0" w:name="_Hlk110546638"/>
    </w:p>
    <w:p w14:paraId="16783251">
      <w:pPr>
        <w:keepNext w:val="0"/>
        <w:keepLines w:val="0"/>
        <w:pageBreakBefore w:val="0"/>
        <w:widowControl w:val="0"/>
        <w:kinsoku/>
        <w:wordWrap/>
        <w:overflowPunct/>
        <w:topLinePunct w:val="0"/>
        <w:autoSpaceDE/>
        <w:autoSpaceDN/>
        <w:bidi w:val="0"/>
        <w:adjustRightInd w:val="0"/>
        <w:snapToGrid w:val="0"/>
        <w:spacing w:line="579" w:lineRule="exact"/>
        <w:ind w:leftChars="0" w:firstLine="643"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b/>
          <w:bCs/>
          <w:color w:val="auto"/>
          <w:kern w:val="0"/>
          <w:shd w:val="clear" w:color="auto" w:fill="FFFFFF"/>
          <w:lang w:val="en-US" w:eastAsia="zh-CN"/>
        </w:rPr>
        <w:t>1.完成各项经济指标。</w:t>
      </w:r>
      <w:r>
        <w:rPr>
          <w:rFonts w:hint="eastAsia" w:ascii="Times New Roman" w:hAnsi="Times New Roman" w:cs="仿宋_GB2312"/>
          <w:color w:val="auto"/>
          <w:kern w:val="0"/>
          <w:shd w:val="clear" w:color="auto" w:fill="FFFFFF"/>
          <w:lang w:val="en-US" w:eastAsia="zh-CN"/>
        </w:rPr>
        <w:t>进一步提高重大项目用地保障力度，切实发挥田长制、执法巡查、地灾防治的作用，全面提升自然资源管理能力和水平，确保完成各项经济指标年度目标任务。</w:t>
      </w:r>
    </w:p>
    <w:p w14:paraId="3827DA51">
      <w:pPr>
        <w:keepNext w:val="0"/>
        <w:keepLines w:val="0"/>
        <w:pageBreakBefore w:val="0"/>
        <w:widowControl w:val="0"/>
        <w:kinsoku/>
        <w:wordWrap/>
        <w:overflowPunct/>
        <w:topLinePunct w:val="0"/>
        <w:autoSpaceDE/>
        <w:autoSpaceDN/>
        <w:bidi w:val="0"/>
        <w:adjustRightInd w:val="0"/>
        <w:snapToGrid w:val="0"/>
        <w:spacing w:line="579" w:lineRule="exact"/>
        <w:ind w:leftChars="0" w:firstLine="643" w:firstLineChars="200"/>
        <w:jc w:val="both"/>
        <w:textAlignment w:val="auto"/>
        <w:rPr>
          <w:rFonts w:hint="eastAsia" w:ascii="Times New Roman" w:hAnsi="Times New Roman" w:cs="仿宋_GB2312"/>
          <w:color w:val="auto"/>
          <w:kern w:val="0"/>
          <w:shd w:val="clear" w:color="auto" w:fill="FFFFFF"/>
          <w:lang w:val="en-US" w:eastAsia="zh-CN"/>
        </w:rPr>
      </w:pPr>
      <w:r>
        <w:rPr>
          <w:rFonts w:hint="eastAsia" w:ascii="Times New Roman" w:hAnsi="Times New Roman" w:cs="仿宋_GB2312"/>
          <w:b/>
          <w:bCs/>
          <w:color w:val="auto"/>
          <w:kern w:val="0"/>
          <w:shd w:val="clear" w:color="auto" w:fill="FFFFFF"/>
          <w:lang w:val="en-US" w:eastAsia="zh-CN"/>
        </w:rPr>
        <w:t>2.完善沟通协调机制。</w:t>
      </w:r>
      <w:r>
        <w:rPr>
          <w:rFonts w:hint="eastAsia" w:ascii="Times New Roman" w:hAnsi="Times New Roman" w:cs="仿宋_GB2312"/>
          <w:color w:val="auto"/>
          <w:kern w:val="0"/>
          <w:shd w:val="clear" w:color="auto" w:fill="FFFFFF"/>
          <w:lang w:val="en-US" w:eastAsia="zh-CN"/>
        </w:rPr>
        <w:t>在耕地保护、执法巡查、地灾防治中建立部门联动、社会参与的多边机制，加强与群众及其他社会组织间的沟通与合作，强化信息沟通和协调配合，推动群众积极参与自然资源管理工作。</w:t>
      </w:r>
    </w:p>
    <w:p w14:paraId="75CC39FB">
      <w:pPr>
        <w:keepNext w:val="0"/>
        <w:keepLines w:val="0"/>
        <w:pageBreakBefore w:val="0"/>
        <w:widowControl w:val="0"/>
        <w:kinsoku/>
        <w:wordWrap/>
        <w:overflowPunct/>
        <w:topLinePunct w:val="0"/>
        <w:autoSpaceDE/>
        <w:autoSpaceDN/>
        <w:bidi w:val="0"/>
        <w:adjustRightInd w:val="0"/>
        <w:snapToGrid w:val="0"/>
        <w:spacing w:line="579" w:lineRule="exact"/>
        <w:ind w:leftChars="0" w:firstLine="643" w:firstLineChars="200"/>
        <w:jc w:val="both"/>
        <w:textAlignment w:val="auto"/>
        <w:rPr>
          <w:rFonts w:hint="eastAsia" w:ascii="Times New Roman" w:hAnsi="Times New Roman" w:cs="仿宋_GB2312"/>
          <w:color w:val="auto"/>
          <w:kern w:val="0"/>
          <w:shd w:val="clear" w:color="auto" w:fill="FFFFFF"/>
          <w:lang w:val="en" w:eastAsia="zh-CN"/>
        </w:rPr>
      </w:pPr>
      <w:r>
        <w:rPr>
          <w:rFonts w:hint="eastAsia" w:ascii="Times New Roman" w:hAnsi="Times New Roman" w:cs="仿宋_GB2312"/>
          <w:b/>
          <w:bCs/>
          <w:color w:val="auto"/>
          <w:kern w:val="0"/>
          <w:shd w:val="clear" w:color="auto" w:fill="FFFFFF"/>
          <w:lang w:val="en-US" w:eastAsia="zh-CN"/>
        </w:rPr>
        <w:t>3、全面提高服务能力。</w:t>
      </w:r>
      <w:r>
        <w:rPr>
          <w:rFonts w:hint="eastAsia" w:ascii="Times New Roman" w:hAnsi="Times New Roman" w:cs="仿宋_GB2312"/>
          <w:color w:val="auto"/>
          <w:kern w:val="0"/>
          <w:shd w:val="clear" w:color="auto" w:fill="FFFFFF"/>
          <w:lang w:val="en-US" w:eastAsia="zh-CN"/>
        </w:rPr>
        <w:t>坚持分级培训和岗位培训相结合，尤其是加强培训，提升财务管理水平和自然资源管理能力，强化资金绩效管理，让关系民生，连着民心的民生项目真正发挥好社会作用。</w:t>
      </w:r>
    </w:p>
    <w:bookmarkEnd w:id="0"/>
    <w:p w14:paraId="62BA306A">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jc w:val="both"/>
        <w:textAlignment w:val="auto"/>
        <w:rPr>
          <w:rFonts w:hint="default" w:ascii="Times New Roman" w:hAnsi="Times New Roman" w:cs="仿宋_GB2312"/>
          <w:color w:val="auto"/>
          <w:kern w:val="0"/>
          <w:shd w:val="clear" w:color="auto" w:fill="FFFFFF"/>
          <w:lang w:val="zh-CN" w:eastAsia="zh-CN"/>
        </w:rPr>
      </w:pPr>
    </w:p>
    <w:p w14:paraId="42770D4A">
      <w:pPr>
        <w:pStyle w:val="11"/>
        <w:keepNext w:val="0"/>
        <w:keepLines w:val="0"/>
        <w:pageBreakBefore w:val="0"/>
        <w:kinsoku/>
        <w:wordWrap/>
        <w:overflowPunct/>
        <w:topLinePunct w:val="0"/>
        <w:autoSpaceDE/>
        <w:autoSpaceDN/>
        <w:bidi w:val="0"/>
        <w:spacing w:after="0" w:line="579" w:lineRule="exact"/>
        <w:ind w:left="0" w:leftChars="0" w:firstLine="66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eastAsia" w:ascii="Times New Roman" w:hAnsi="Times New Roman" w:cs="Times New Roman"/>
          <w:color w:val="000000"/>
          <w:kern w:val="0"/>
          <w:sz w:val="33"/>
          <w:szCs w:val="33"/>
          <w:highlight w:val="none"/>
          <w:shd w:val="clear" w:color="auto" w:fill="FFFFFF"/>
          <w:lang w:val="en-US" w:eastAsia="zh-CN"/>
        </w:rPr>
        <w:t>附表：</w:t>
      </w:r>
      <w:r>
        <w:rPr>
          <w:rFonts w:hint="default" w:ascii="Times New Roman" w:hAnsi="Times New Roman" w:cs="Times New Roman"/>
          <w:color w:val="000000"/>
          <w:kern w:val="0"/>
          <w:sz w:val="33"/>
          <w:szCs w:val="33"/>
          <w:highlight w:val="none"/>
          <w:shd w:val="clear" w:color="auto" w:fill="FFFFFF"/>
          <w:lang w:val="en-US" w:eastAsia="zh-CN"/>
        </w:rPr>
        <w:t>部门整体支出绩效目标完成情况自评表</w:t>
      </w:r>
    </w:p>
    <w:p w14:paraId="49C75C8C">
      <w:pPr>
        <w:pStyle w:val="11"/>
        <w:keepNext w:val="0"/>
        <w:keepLines w:val="0"/>
        <w:pageBreakBefore w:val="0"/>
        <w:kinsoku/>
        <w:wordWrap/>
        <w:overflowPunct/>
        <w:topLinePunct w:val="0"/>
        <w:autoSpaceDE/>
        <w:autoSpaceDN/>
        <w:bidi w:val="0"/>
        <w:spacing w:after="0" w:line="579" w:lineRule="exact"/>
        <w:ind w:left="0" w:leftChars="0" w:firstLine="66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pPr>
    </w:p>
    <w:p w14:paraId="73FC7616">
      <w:pPr>
        <w:pStyle w:val="11"/>
        <w:keepNext w:val="0"/>
        <w:keepLines w:val="0"/>
        <w:pageBreakBefore w:val="0"/>
        <w:kinsoku/>
        <w:wordWrap/>
        <w:overflowPunct/>
        <w:topLinePunct w:val="0"/>
        <w:autoSpaceDE/>
        <w:autoSpaceDN/>
        <w:bidi w:val="0"/>
        <w:spacing w:after="0" w:line="579" w:lineRule="exact"/>
        <w:ind w:left="0" w:leftChars="0" w:firstLine="66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pPr>
    </w:p>
    <w:p w14:paraId="564A8C08">
      <w:pPr>
        <w:pStyle w:val="11"/>
        <w:keepNext w:val="0"/>
        <w:keepLines w:val="0"/>
        <w:pageBreakBefore w:val="0"/>
        <w:kinsoku/>
        <w:wordWrap/>
        <w:overflowPunct/>
        <w:topLinePunct w:val="0"/>
        <w:autoSpaceDE/>
        <w:autoSpaceDN/>
        <w:bidi w:val="0"/>
        <w:spacing w:after="0" w:line="579" w:lineRule="exact"/>
        <w:ind w:left="0" w:leftChars="0" w:firstLine="660" w:firstLineChars="200"/>
        <w:textAlignment w:val="auto"/>
        <w:rPr>
          <w:rFonts w:hint="default" w:ascii="Times New Roman" w:hAnsi="Times New Roman" w:cs="Times New Roman"/>
          <w:color w:val="000000"/>
          <w:kern w:val="0"/>
          <w:sz w:val="33"/>
          <w:szCs w:val="33"/>
          <w:highlight w:val="none"/>
          <w:shd w:val="clear" w:color="auto" w:fill="FFFFFF"/>
          <w:lang w:val="en-US" w:eastAsia="zh-CN"/>
        </w:rPr>
      </w:pPr>
    </w:p>
    <w:p w14:paraId="5C97DE7F">
      <w:pPr>
        <w:pStyle w:val="11"/>
        <w:keepNext w:val="0"/>
        <w:keepLines w:val="0"/>
        <w:pageBreakBefore w:val="0"/>
        <w:kinsoku/>
        <w:wordWrap/>
        <w:overflowPunct/>
        <w:topLinePunct w:val="0"/>
        <w:autoSpaceDE/>
        <w:autoSpaceDN/>
        <w:bidi w:val="0"/>
        <w:spacing w:after="0" w:line="579" w:lineRule="exact"/>
        <w:ind w:left="0" w:leftChars="0" w:firstLine="660" w:firstLineChars="200"/>
        <w:jc w:val="right"/>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eastAsia" w:ascii="Times New Roman" w:cs="Times New Roman"/>
          <w:color w:val="000000"/>
          <w:kern w:val="0"/>
          <w:sz w:val="33"/>
          <w:szCs w:val="33"/>
          <w:highlight w:val="none"/>
          <w:shd w:val="clear" w:color="auto" w:fill="FFFFFF"/>
          <w:lang w:val="en-US" w:eastAsia="zh-CN"/>
        </w:rPr>
        <w:t>遂宁市河东新区自然资源和规划中心</w:t>
      </w:r>
    </w:p>
    <w:p w14:paraId="45E8AB98">
      <w:pPr>
        <w:pStyle w:val="11"/>
        <w:keepNext w:val="0"/>
        <w:keepLines w:val="0"/>
        <w:pageBreakBefore w:val="0"/>
        <w:kinsoku/>
        <w:wordWrap w:val="0"/>
        <w:overflowPunct/>
        <w:topLinePunct w:val="0"/>
        <w:autoSpaceDE/>
        <w:autoSpaceDN/>
        <w:bidi w:val="0"/>
        <w:spacing w:after="0" w:line="579" w:lineRule="exact"/>
        <w:ind w:left="0" w:leftChars="0" w:firstLine="660" w:firstLineChars="200"/>
        <w:jc w:val="right"/>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eastAsia" w:ascii="Times New Roman" w:cs="Times New Roman"/>
          <w:color w:val="000000"/>
          <w:kern w:val="0"/>
          <w:sz w:val="33"/>
          <w:szCs w:val="33"/>
          <w:highlight w:val="none"/>
          <w:shd w:val="clear" w:color="auto" w:fill="FFFFFF"/>
          <w:lang w:val="en-US" w:eastAsia="zh-CN"/>
        </w:rPr>
        <w:t xml:space="preserve">2025年5月19日        </w:t>
      </w:r>
    </w:p>
    <w:p w14:paraId="6C079FF8">
      <w:pPr>
        <w:rPr>
          <w:rFonts w:hint="default" w:ascii="Times New Roman" w:hAnsi="Times New Roman" w:cs="Times New Roman"/>
          <w:color w:val="000000"/>
          <w:kern w:val="0"/>
          <w:sz w:val="33"/>
          <w:szCs w:val="33"/>
          <w:highlight w:val="none"/>
          <w:shd w:val="clear" w:color="auto" w:fill="FFFFFF"/>
          <w:lang w:val="en-US" w:eastAsia="zh-CN"/>
        </w:rPr>
        <w:sectPr>
          <w:footerReference r:id="rId4" w:type="default"/>
          <w:pgSz w:w="11906" w:h="16838"/>
          <w:pgMar w:top="2098" w:right="1474" w:bottom="1984" w:left="1587" w:header="851" w:footer="1049" w:gutter="0"/>
          <w:pgNumType w:fmt="numberInDash" w:start="2"/>
          <w:cols w:space="0" w:num="1"/>
          <w:rtlGutter w:val="0"/>
          <w:docGrid w:type="lines" w:linePitch="436" w:charSpace="0"/>
        </w:sectPr>
      </w:pPr>
      <w:r>
        <w:rPr>
          <w:rFonts w:hint="default" w:ascii="Times New Roman" w:hAnsi="Times New Roman" w:cs="Times New Roman"/>
          <w:color w:val="000000"/>
          <w:kern w:val="0"/>
          <w:sz w:val="33"/>
          <w:szCs w:val="33"/>
          <w:highlight w:val="none"/>
          <w:shd w:val="clear" w:color="auto" w:fill="FFFFFF"/>
          <w:lang w:val="en-US" w:eastAsia="zh-CN"/>
        </w:rPr>
        <w:br w:type="page"/>
      </w:r>
    </w:p>
    <w:p w14:paraId="63F4405D">
      <w:pPr>
        <w:keepNext w:val="0"/>
        <w:keepLines w:val="0"/>
        <w:pageBreakBefore w:val="0"/>
        <w:kinsoku/>
        <w:wordWrap/>
        <w:overflowPunct/>
        <w:topLinePunct w:val="0"/>
        <w:autoSpaceDE/>
        <w:autoSpaceDN/>
        <w:bidi w:val="0"/>
        <w:adjustRightInd/>
        <w:snapToGrid/>
        <w:spacing w:line="360" w:lineRule="auto"/>
        <w:ind w:right="0" w:rightChars="0"/>
        <w:jc w:val="both"/>
        <w:textAlignment w:val="auto"/>
        <w:rPr>
          <w:rFonts w:hint="eastAsia" w:ascii="Times New Roman" w:hAnsi="Times New Roman" w:eastAsia="黑体" w:cs="黑体"/>
          <w:color w:val="auto"/>
          <w:kern w:val="2"/>
          <w:sz w:val="32"/>
          <w:szCs w:val="24"/>
          <w:highlight w:val="none"/>
          <w:lang w:val="en-US" w:eastAsia="zh-CN" w:bidi="ar-SA"/>
        </w:rPr>
      </w:pPr>
      <w:r>
        <w:rPr>
          <w:rFonts w:hint="eastAsia" w:ascii="Times New Roman" w:hAnsi="Times New Roman" w:eastAsia="黑体" w:cs="黑体"/>
          <w:color w:val="auto"/>
          <w:kern w:val="2"/>
          <w:sz w:val="32"/>
          <w:szCs w:val="24"/>
          <w:highlight w:val="none"/>
          <w:lang w:val="en-US" w:eastAsia="zh-CN" w:bidi="ar-SA"/>
        </w:rPr>
        <w:t>附表</w:t>
      </w:r>
    </w:p>
    <w:p w14:paraId="2596E70A">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default" w:ascii="Times New Roman" w:hAnsi="Times New Roman" w:eastAsia="方正小标宋简体" w:cs="方正小标宋简体"/>
          <w:color w:val="auto"/>
          <w:sz w:val="44"/>
          <w:szCs w:val="44"/>
          <w:shd w:val="clear" w:color="auto" w:fill="FFFFFF"/>
          <w:lang w:val="en-US" w:eastAsia="zh-CN"/>
        </w:rPr>
      </w:pPr>
      <w:r>
        <w:rPr>
          <w:rFonts w:hint="default" w:ascii="Times New Roman" w:hAnsi="Times New Roman" w:eastAsia="方正小标宋简体" w:cs="方正小标宋简体"/>
          <w:color w:val="auto"/>
          <w:sz w:val="44"/>
          <w:szCs w:val="44"/>
          <w:shd w:val="clear" w:color="auto" w:fill="FFFFFF"/>
          <w:lang w:val="en-US" w:eastAsia="zh-CN"/>
        </w:rPr>
        <w:t>部门整体支出绩效目标完成情况自评表</w:t>
      </w:r>
    </w:p>
    <w:p w14:paraId="3C1A4203">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default" w:ascii="Times New Roman" w:hAnsi="Times New Roman" w:eastAsia="楷体_GB2312" w:cs="Times New Roman"/>
          <w:color w:val="auto"/>
          <w:sz w:val="32"/>
          <w:szCs w:val="32"/>
          <w:shd w:val="clear" w:color="auto" w:fill="FFFFFF"/>
          <w:lang w:val="en-US" w:eastAsia="zh-CN"/>
        </w:rPr>
      </w:pPr>
      <w:r>
        <w:rPr>
          <w:rFonts w:hint="default" w:ascii="Times New Roman" w:hAnsi="Times New Roman" w:eastAsia="楷体_GB2312" w:cs="Times New Roman"/>
          <w:color w:val="auto"/>
          <w:sz w:val="32"/>
          <w:szCs w:val="32"/>
          <w:shd w:val="clear" w:color="auto" w:fill="FFFFFF"/>
          <w:lang w:val="en-US" w:eastAsia="zh-CN"/>
        </w:rPr>
        <w:t>（2024年度）</w:t>
      </w:r>
    </w:p>
    <w:tbl>
      <w:tblPr>
        <w:tblStyle w:val="12"/>
        <w:tblW w:w="14005" w:type="dxa"/>
        <w:tblInd w:w="-3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63"/>
        <w:gridCol w:w="1171"/>
        <w:gridCol w:w="1940"/>
        <w:gridCol w:w="2244"/>
        <w:gridCol w:w="1056"/>
        <w:gridCol w:w="1421"/>
        <w:gridCol w:w="1089"/>
        <w:gridCol w:w="1358"/>
        <w:gridCol w:w="2163"/>
      </w:tblGrid>
      <w:tr w14:paraId="0FEC9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14005" w:type="dxa"/>
            <w:gridSpan w:val="9"/>
            <w:tcBorders>
              <w:top w:val="nil"/>
              <w:left w:val="nil"/>
              <w:bottom w:val="single" w:color="auto" w:sz="4" w:space="0"/>
              <w:right w:val="nil"/>
            </w:tcBorders>
            <w:shd w:val="clear" w:color="auto" w:fill="auto"/>
            <w:vAlign w:val="center"/>
          </w:tcPr>
          <w:p w14:paraId="782DF82E">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outlineLvl w:val="9"/>
              <w:rPr>
                <w:rFonts w:hint="default" w:ascii="Times New Roman" w:hAnsi="Times New Roman" w:eastAsia="宋体" w:cs="Times New Roman"/>
                <w:i w:val="0"/>
                <w:color w:val="000000"/>
                <w:sz w:val="21"/>
                <w:szCs w:val="21"/>
                <w:highlight w:val="none"/>
                <w:u w:val="none"/>
              </w:rPr>
            </w:pPr>
            <w:r>
              <w:rPr>
                <w:rFonts w:hint="eastAsia" w:ascii="楷体_GB2312" w:hAnsi="楷体_GB2312" w:eastAsia="楷体_GB2312" w:cs="楷体_GB2312"/>
                <w:i w:val="0"/>
                <w:color w:val="000000"/>
                <w:kern w:val="0"/>
                <w:sz w:val="24"/>
                <w:szCs w:val="24"/>
                <w:highlight w:val="none"/>
                <w:u w:val="none"/>
                <w:lang w:val="en-US" w:eastAsia="zh-CN" w:bidi="ar"/>
              </w:rPr>
              <w:t>单位：万元</w:t>
            </w:r>
          </w:p>
        </w:tc>
      </w:tr>
      <w:tr w14:paraId="15271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4674" w:type="dxa"/>
            <w:gridSpan w:val="3"/>
            <w:tcBorders>
              <w:top w:val="single" w:color="auto" w:sz="4" w:space="0"/>
              <w:bottom w:val="single" w:color="000000" w:sz="4" w:space="0"/>
              <w:right w:val="single" w:color="000000" w:sz="4" w:space="0"/>
            </w:tcBorders>
            <w:shd w:val="clear" w:color="auto" w:fill="auto"/>
            <w:vAlign w:val="center"/>
          </w:tcPr>
          <w:p w14:paraId="4D0EE2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部门名称</w:t>
            </w:r>
          </w:p>
        </w:tc>
        <w:tc>
          <w:tcPr>
            <w:tcW w:w="9331" w:type="dxa"/>
            <w:gridSpan w:val="6"/>
            <w:tcBorders>
              <w:top w:val="single" w:color="auto" w:sz="4" w:space="0"/>
              <w:left w:val="single" w:color="000000" w:sz="4" w:space="0"/>
              <w:bottom w:val="single" w:color="000000" w:sz="4" w:space="0"/>
            </w:tcBorders>
            <w:shd w:val="clear" w:color="auto" w:fill="auto"/>
            <w:vAlign w:val="center"/>
          </w:tcPr>
          <w:p w14:paraId="0960FC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_GB2312" w:hAnsi="仿宋_GB2312" w:eastAsia="仿宋_GB2312" w:cs="仿宋_GB2312"/>
                <w:b/>
                <w:bCs/>
                <w:i w:val="0"/>
                <w:color w:val="000000"/>
                <w:sz w:val="28"/>
                <w:szCs w:val="28"/>
                <w:u w:val="none"/>
                <w:lang w:val="en-US"/>
              </w:rPr>
            </w:pPr>
            <w:r>
              <w:rPr>
                <w:rFonts w:hint="eastAsia" w:ascii="仿宋_GB2312" w:hAnsi="仿宋_GB2312" w:eastAsia="仿宋_GB2312" w:cs="仿宋_GB2312"/>
                <w:b/>
                <w:bCs/>
                <w:i w:val="0"/>
                <w:color w:val="000000"/>
                <w:kern w:val="0"/>
                <w:sz w:val="28"/>
                <w:szCs w:val="28"/>
                <w:u w:val="none"/>
                <w:lang w:val="en-US" w:eastAsia="zh-CN" w:bidi="ar"/>
              </w:rPr>
              <w:t>遂宁市河东新区自然资源和规划中心</w:t>
            </w:r>
          </w:p>
        </w:tc>
      </w:tr>
      <w:tr w14:paraId="3ADC3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restart"/>
            <w:tcBorders>
              <w:top w:val="single" w:color="000000" w:sz="4" w:space="0"/>
              <w:bottom w:val="single" w:color="000000" w:sz="4" w:space="0"/>
              <w:right w:val="single" w:color="000000" w:sz="4" w:space="0"/>
            </w:tcBorders>
            <w:shd w:val="clear" w:color="auto" w:fill="auto"/>
            <w:vAlign w:val="center"/>
          </w:tcPr>
          <w:p w14:paraId="12E29D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年度部门整体支出预算</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9C3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资金总额</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F55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财政拨款</w:t>
            </w:r>
          </w:p>
        </w:tc>
        <w:tc>
          <w:tcPr>
            <w:tcW w:w="6031" w:type="dxa"/>
            <w:gridSpan w:val="4"/>
            <w:tcBorders>
              <w:top w:val="single" w:color="000000" w:sz="4" w:space="0"/>
              <w:left w:val="single" w:color="000000" w:sz="4" w:space="0"/>
              <w:bottom w:val="single" w:color="000000" w:sz="4" w:space="0"/>
            </w:tcBorders>
            <w:shd w:val="clear" w:color="auto" w:fill="auto"/>
            <w:vAlign w:val="center"/>
          </w:tcPr>
          <w:p w14:paraId="04EB84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其他资金</w:t>
            </w:r>
          </w:p>
        </w:tc>
      </w:tr>
      <w:tr w14:paraId="4E5D6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7AE630A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eastAsia="仿宋_GB2312" w:cs="Times New Roman"/>
                <w:i w:val="0"/>
                <w:color w:val="000000"/>
                <w:sz w:val="28"/>
                <w:szCs w:val="28"/>
                <w:u w:val="none"/>
              </w:rPr>
            </w:pP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37A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139.63</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DDB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139.63</w:t>
            </w:r>
          </w:p>
        </w:tc>
        <w:tc>
          <w:tcPr>
            <w:tcW w:w="6031" w:type="dxa"/>
            <w:gridSpan w:val="4"/>
            <w:tcBorders>
              <w:top w:val="single" w:color="000000" w:sz="4" w:space="0"/>
              <w:left w:val="single" w:color="000000" w:sz="4" w:space="0"/>
              <w:bottom w:val="single" w:color="000000" w:sz="4" w:space="0"/>
            </w:tcBorders>
            <w:shd w:val="clear" w:color="auto" w:fill="auto"/>
            <w:vAlign w:val="center"/>
          </w:tcPr>
          <w:p w14:paraId="16EA7F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0</w:t>
            </w:r>
          </w:p>
        </w:tc>
      </w:tr>
      <w:tr w14:paraId="4FDEB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tcBorders>
              <w:top w:val="single" w:color="000000" w:sz="4" w:space="0"/>
              <w:bottom w:val="single" w:color="000000" w:sz="4" w:space="0"/>
              <w:right w:val="single" w:color="000000" w:sz="4" w:space="0"/>
            </w:tcBorders>
            <w:shd w:val="clear" w:color="auto" w:fill="auto"/>
            <w:vAlign w:val="center"/>
          </w:tcPr>
          <w:p w14:paraId="27851C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年度总体</w:t>
            </w:r>
          </w:p>
          <w:p w14:paraId="34A710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目标</w:t>
            </w:r>
          </w:p>
        </w:tc>
        <w:tc>
          <w:tcPr>
            <w:tcW w:w="12442" w:type="dxa"/>
            <w:gridSpan w:val="8"/>
            <w:tcBorders>
              <w:top w:val="single" w:color="000000" w:sz="4" w:space="0"/>
              <w:left w:val="single" w:color="000000" w:sz="4" w:space="0"/>
              <w:bottom w:val="single" w:color="000000" w:sz="4" w:space="0"/>
            </w:tcBorders>
            <w:shd w:val="clear" w:color="auto" w:fill="auto"/>
            <w:vAlign w:val="center"/>
          </w:tcPr>
          <w:p w14:paraId="1D193A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i w:val="0"/>
                <w:color w:val="000000"/>
                <w:sz w:val="28"/>
                <w:szCs w:val="28"/>
                <w:u w:val="none"/>
                <w:lang w:val="en-US" w:eastAsia="zh-CN"/>
              </w:rPr>
              <w:t>聚焦规划引领，严控项目质量；持续优化资源资产配置；持续加强耕地保护；强化地灾防护，严格执法制度。</w:t>
            </w:r>
          </w:p>
        </w:tc>
      </w:tr>
      <w:tr w14:paraId="7B05A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restart"/>
            <w:tcBorders>
              <w:top w:val="single" w:color="000000" w:sz="4" w:space="0"/>
              <w:bottom w:val="single" w:color="000000" w:sz="4" w:space="0"/>
              <w:right w:val="single" w:color="000000" w:sz="4" w:space="0"/>
            </w:tcBorders>
            <w:shd w:val="clear" w:color="auto" w:fill="auto"/>
            <w:vAlign w:val="center"/>
          </w:tcPr>
          <w:p w14:paraId="7703DA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年度主要</w:t>
            </w:r>
          </w:p>
          <w:p w14:paraId="6B531D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任务</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BB1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任务名称</w:t>
            </w:r>
          </w:p>
        </w:tc>
        <w:tc>
          <w:tcPr>
            <w:tcW w:w="9331" w:type="dxa"/>
            <w:gridSpan w:val="6"/>
            <w:tcBorders>
              <w:top w:val="single" w:color="000000" w:sz="4" w:space="0"/>
              <w:left w:val="single" w:color="000000" w:sz="4" w:space="0"/>
              <w:bottom w:val="single" w:color="000000" w:sz="4" w:space="0"/>
            </w:tcBorders>
            <w:shd w:val="clear" w:color="auto" w:fill="auto"/>
            <w:vAlign w:val="center"/>
          </w:tcPr>
          <w:p w14:paraId="61B2B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主要内容</w:t>
            </w:r>
          </w:p>
        </w:tc>
      </w:tr>
      <w:tr w14:paraId="40113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right w:val="single" w:color="000000" w:sz="4" w:space="0"/>
            </w:tcBorders>
            <w:shd w:val="clear" w:color="auto" w:fill="auto"/>
            <w:vAlign w:val="center"/>
          </w:tcPr>
          <w:p w14:paraId="2CAF28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7EA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sz w:val="28"/>
                <w:szCs w:val="28"/>
                <w:u w:val="none"/>
              </w:rPr>
              <w:t>聚焦规划引领，严控项目质量</w:t>
            </w:r>
          </w:p>
        </w:tc>
        <w:tc>
          <w:tcPr>
            <w:tcW w:w="9331" w:type="dxa"/>
            <w:gridSpan w:val="6"/>
            <w:tcBorders>
              <w:top w:val="single" w:color="000000" w:sz="4" w:space="0"/>
              <w:left w:val="single" w:color="000000" w:sz="4" w:space="0"/>
              <w:bottom w:val="single" w:color="000000" w:sz="4" w:space="0"/>
            </w:tcBorders>
            <w:shd w:val="clear" w:color="auto" w:fill="auto"/>
            <w:vAlign w:val="center"/>
          </w:tcPr>
          <w:p w14:paraId="58B788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按照市级空间专班工作要求，推进国土空间规划编制，保障新区重点项目落地；继续推进永盛湖中央活力区、新区乡村国土空间规划、仁里片区更新规划编制，并完善法定报批程序</w:t>
            </w:r>
          </w:p>
        </w:tc>
      </w:tr>
      <w:tr w14:paraId="61C3F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right w:val="single" w:color="000000" w:sz="4" w:space="0"/>
            </w:tcBorders>
            <w:shd w:val="clear" w:color="auto" w:fill="auto"/>
            <w:vAlign w:val="center"/>
          </w:tcPr>
          <w:p w14:paraId="5652A8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A3E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sz w:val="28"/>
                <w:szCs w:val="28"/>
                <w:u w:val="none"/>
              </w:rPr>
              <w:t>持续优化资源资产配置</w:t>
            </w:r>
          </w:p>
        </w:tc>
        <w:tc>
          <w:tcPr>
            <w:tcW w:w="9331" w:type="dxa"/>
            <w:gridSpan w:val="6"/>
            <w:tcBorders>
              <w:top w:val="single" w:color="000000" w:sz="4" w:space="0"/>
              <w:left w:val="single" w:color="000000" w:sz="4" w:space="0"/>
              <w:bottom w:val="single" w:color="000000" w:sz="4" w:space="0"/>
            </w:tcBorders>
            <w:shd w:val="clear" w:color="auto" w:fill="auto"/>
            <w:vAlign w:val="center"/>
          </w:tcPr>
          <w:p w14:paraId="2B5F91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sz w:val="28"/>
                <w:szCs w:val="28"/>
                <w:u w:val="none"/>
              </w:rPr>
              <w:t>一是全力完成土地报征工作，持续跟进2023年所报征批次，拿回批文,认真做好2024年土地报征工作；二是做好临时用地审批工作，严格管控临时用地占用永久基本农田，确需占用的，做好踏勘论证，临时用地占用耕地的，要求做好耕作层剥离工作。</w:t>
            </w:r>
          </w:p>
        </w:tc>
      </w:tr>
      <w:tr w14:paraId="6967E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right w:val="single" w:color="000000" w:sz="4" w:space="0"/>
            </w:tcBorders>
            <w:shd w:val="clear" w:color="auto" w:fill="auto"/>
            <w:vAlign w:val="center"/>
          </w:tcPr>
          <w:p w14:paraId="57CB40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522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盘活存量，加大土地出让</w:t>
            </w:r>
          </w:p>
        </w:tc>
        <w:tc>
          <w:tcPr>
            <w:tcW w:w="9331" w:type="dxa"/>
            <w:gridSpan w:val="6"/>
            <w:tcBorders>
              <w:top w:val="single" w:color="000000" w:sz="4" w:space="0"/>
              <w:left w:val="single" w:color="000000" w:sz="4" w:space="0"/>
              <w:bottom w:val="single" w:color="000000" w:sz="4" w:space="0"/>
            </w:tcBorders>
            <w:shd w:val="clear" w:color="auto" w:fill="auto"/>
            <w:vAlign w:val="center"/>
          </w:tcPr>
          <w:p w14:paraId="73BE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抓好全域节约、集约用地。按照省、市和新区相关要求，依法依规保障重点项目和民生保障性项目用地，及时消除存量土地。抓好土地出让工作。</w:t>
            </w:r>
          </w:p>
        </w:tc>
      </w:tr>
      <w:tr w14:paraId="730F5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2DCA436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eastAsia="仿宋_GB2312" w:cs="Times New Roman"/>
                <w:i w:val="0"/>
                <w:color w:val="000000"/>
                <w:sz w:val="28"/>
                <w:szCs w:val="28"/>
                <w:u w:val="none"/>
              </w:rPr>
            </w:pP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DA3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rPr>
              <w:t>持续加强耕地保护</w:t>
            </w:r>
          </w:p>
        </w:tc>
        <w:tc>
          <w:tcPr>
            <w:tcW w:w="9331" w:type="dxa"/>
            <w:gridSpan w:val="6"/>
            <w:tcBorders>
              <w:top w:val="single" w:color="000000" w:sz="4" w:space="0"/>
              <w:left w:val="single" w:color="000000" w:sz="4" w:space="0"/>
              <w:bottom w:val="single" w:color="000000" w:sz="4" w:space="0"/>
            </w:tcBorders>
            <w:shd w:val="clear" w:color="auto" w:fill="auto"/>
            <w:vAlign w:val="center"/>
          </w:tcPr>
          <w:p w14:paraId="188363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rPr>
              <w:t>协调和处理好保护与发展的关系，落实最严格的耕地保护制度，全面落实新区田长制；根据省市要求完成2024年耕地进出平衡任务。</w:t>
            </w:r>
          </w:p>
        </w:tc>
      </w:tr>
      <w:tr w14:paraId="5A7F4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153BECA8">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eastAsia="仿宋_GB2312" w:cs="Times New Roman"/>
                <w:i w:val="0"/>
                <w:color w:val="000000"/>
                <w:sz w:val="28"/>
                <w:szCs w:val="28"/>
                <w:u w:val="none"/>
              </w:rPr>
            </w:pP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E518D">
            <w:pPr>
              <w:keepNext w:val="0"/>
              <w:keepLines w:val="0"/>
              <w:pageBreakBefore w:val="0"/>
              <w:widowControl/>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rPr>
              <w:t>强化地灾防护，严格执法制度</w:t>
            </w:r>
          </w:p>
        </w:tc>
        <w:tc>
          <w:tcPr>
            <w:tcW w:w="9331" w:type="dxa"/>
            <w:gridSpan w:val="6"/>
            <w:tcBorders>
              <w:top w:val="single" w:color="000000" w:sz="4" w:space="0"/>
              <w:left w:val="single" w:color="000000" w:sz="4" w:space="0"/>
              <w:bottom w:val="single" w:color="000000" w:sz="4" w:space="0"/>
            </w:tcBorders>
            <w:shd w:val="clear" w:color="auto" w:fill="auto"/>
            <w:vAlign w:val="center"/>
          </w:tcPr>
          <w:p w14:paraId="4E659199">
            <w:pPr>
              <w:keepNext w:val="0"/>
              <w:keepLines w:val="0"/>
              <w:pageBreakBefore w:val="0"/>
              <w:widowControl/>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rPr>
              <w:t>加大地灾防治政策法规宣传力度，落实专人督促整治工程推进情况；加快构建新区地质灾害全域整治模式、科学防控体系、分级防治格局，大力提升地质灾害综合防范能力，全力保障人民群众生命财产安全；深入开展自然资源领域执法专项活动，加强临时用地监管。</w:t>
            </w:r>
          </w:p>
        </w:tc>
      </w:tr>
      <w:tr w14:paraId="581B9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restart"/>
            <w:tcBorders>
              <w:top w:val="single" w:color="000000" w:sz="4" w:space="0"/>
              <w:bottom w:val="single" w:color="000000" w:sz="4" w:space="0"/>
              <w:right w:val="single" w:color="000000" w:sz="4" w:space="0"/>
            </w:tcBorders>
            <w:shd w:val="clear" w:color="auto" w:fill="auto"/>
            <w:vAlign w:val="center"/>
          </w:tcPr>
          <w:p w14:paraId="59E86E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i w:val="0"/>
                <w:color w:val="000000"/>
                <w:sz w:val="28"/>
                <w:szCs w:val="28"/>
                <w:u w:val="none"/>
                <w:lang w:val="en-US" w:eastAsia="zh-CN"/>
              </w:rPr>
              <w:t>年度绩效</w:t>
            </w:r>
          </w:p>
          <w:p w14:paraId="3A9319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6C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一级指标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B9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二级指标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68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三级指标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B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绩效指标性质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24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i w:val="0"/>
                <w:color w:val="000000"/>
                <w:sz w:val="28"/>
                <w:szCs w:val="28"/>
                <w:u w:val="none"/>
                <w:lang w:val="en-US" w:eastAsia="zh-CN"/>
              </w:rPr>
              <w:t>绩效</w:t>
            </w:r>
          </w:p>
          <w:p w14:paraId="3F1BF7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F5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绩效度量单位</w:t>
            </w:r>
          </w:p>
        </w:tc>
        <w:tc>
          <w:tcPr>
            <w:tcW w:w="1358" w:type="dxa"/>
            <w:tcBorders>
              <w:top w:val="single" w:color="000000" w:sz="4" w:space="0"/>
              <w:left w:val="single" w:color="000000" w:sz="4" w:space="0"/>
              <w:bottom w:val="single" w:color="000000" w:sz="4" w:space="0"/>
            </w:tcBorders>
            <w:shd w:val="clear" w:color="auto" w:fill="auto"/>
            <w:vAlign w:val="center"/>
          </w:tcPr>
          <w:p w14:paraId="6181B1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权重</w:t>
            </w:r>
          </w:p>
        </w:tc>
        <w:tc>
          <w:tcPr>
            <w:tcW w:w="2163" w:type="dxa"/>
            <w:tcBorders>
              <w:top w:val="single" w:color="000000" w:sz="4" w:space="0"/>
              <w:left w:val="single" w:color="000000" w:sz="4" w:space="0"/>
              <w:bottom w:val="single" w:color="000000" w:sz="4" w:space="0"/>
            </w:tcBorders>
            <w:shd w:val="clear" w:color="auto" w:fill="auto"/>
            <w:vAlign w:val="center"/>
          </w:tcPr>
          <w:p w14:paraId="6B1325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i w:val="0"/>
                <w:color w:val="000000"/>
                <w:sz w:val="28"/>
                <w:szCs w:val="28"/>
                <w:u w:val="none"/>
                <w:lang w:val="en-US" w:eastAsia="zh-CN"/>
              </w:rPr>
              <w:t>实际完成</w:t>
            </w:r>
          </w:p>
          <w:p w14:paraId="66E8B1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指标值</w:t>
            </w:r>
          </w:p>
        </w:tc>
      </w:tr>
      <w:tr w14:paraId="1AE91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7AADE2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CE6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产出指标</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B7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数量指标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0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i w:val="0"/>
                <w:color w:val="000000"/>
                <w:sz w:val="28"/>
                <w:szCs w:val="28"/>
                <w:u w:val="none"/>
                <w:lang w:val="en-US" w:eastAsia="zh-CN"/>
              </w:rPr>
              <w:t>完成年度报征</w:t>
            </w:r>
          </w:p>
          <w:p w14:paraId="591F1A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目标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30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eastAsia" w:ascii="Times New Roman" w:hAnsi="Times New Roman" w:eastAsia="仿宋_GB2312" w:cs="Times New Roman"/>
                <w:i w:val="0"/>
                <w:color w:val="000000"/>
                <w:sz w:val="28"/>
                <w:szCs w:val="28"/>
                <w:u w:val="none"/>
                <w:lang w:val="en-US" w:eastAsia="zh-CN"/>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CF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400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B2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eastAsia" w:ascii="Times New Roman" w:hAnsi="Times New Roman" w:eastAsia="仿宋_GB2312" w:cs="Times New Roman"/>
                <w:i w:val="0"/>
                <w:color w:val="000000"/>
                <w:sz w:val="28"/>
                <w:szCs w:val="28"/>
                <w:u w:val="none"/>
                <w:lang w:val="en-US" w:eastAsia="zh-CN"/>
              </w:rPr>
              <w:t>亩</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35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eastAsia" w:ascii="Times New Roman" w:hAnsi="Times New Roman" w:eastAsia="仿宋_GB2312" w:cs="Times New Roman"/>
                <w:i w:val="0"/>
                <w:color w:val="000000"/>
                <w:sz w:val="28"/>
                <w:szCs w:val="28"/>
                <w:u w:val="none"/>
                <w:lang w:val="en-US" w:eastAsia="zh-CN"/>
              </w:rPr>
              <w:t>15</w:t>
            </w:r>
            <w:r>
              <w:rPr>
                <w:rFonts w:hint="default" w:ascii="Times New Roman" w:hAnsi="Times New Roman" w:eastAsia="仿宋_GB2312" w:cs="Times New Roman"/>
                <w:i w:val="0"/>
                <w:color w:val="000000"/>
                <w:sz w:val="28"/>
                <w:szCs w:val="28"/>
                <w:u w:val="none"/>
                <w:lang w:val="en-US" w:eastAsia="zh-CN"/>
              </w:rPr>
              <w:t>%</w:t>
            </w:r>
          </w:p>
        </w:tc>
        <w:tc>
          <w:tcPr>
            <w:tcW w:w="2163" w:type="dxa"/>
            <w:tcBorders>
              <w:left w:val="single" w:color="000000" w:sz="4" w:space="0"/>
              <w:bottom w:val="single" w:color="000000" w:sz="4" w:space="0"/>
            </w:tcBorders>
            <w:shd w:val="clear" w:color="auto" w:fill="auto"/>
            <w:vAlign w:val="center"/>
          </w:tcPr>
          <w:p w14:paraId="2E3870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429.8250</w:t>
            </w:r>
          </w:p>
        </w:tc>
      </w:tr>
      <w:tr w14:paraId="6DB40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71BEC5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085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80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00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执法巡查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60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6F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50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1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次/年</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0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15</w:t>
            </w:r>
            <w:r>
              <w:rPr>
                <w:rFonts w:hint="default" w:ascii="Times New Roman" w:hAnsi="Times New Roman" w:eastAsia="仿宋_GB2312" w:cs="Times New Roman"/>
                <w:i w:val="0"/>
                <w:color w:val="000000"/>
                <w:sz w:val="28"/>
                <w:szCs w:val="28"/>
                <w:u w:val="none"/>
                <w:lang w:val="en-US" w:eastAsia="zh-CN"/>
              </w:rPr>
              <w:t>%</w:t>
            </w:r>
          </w:p>
        </w:tc>
        <w:tc>
          <w:tcPr>
            <w:tcW w:w="2163" w:type="dxa"/>
            <w:tcBorders>
              <w:top w:val="single" w:color="000000" w:sz="4" w:space="0"/>
              <w:left w:val="single" w:color="000000" w:sz="4" w:space="0"/>
              <w:bottom w:val="single" w:color="000000" w:sz="4" w:space="0"/>
            </w:tcBorders>
            <w:shd w:val="clear" w:color="auto" w:fill="auto"/>
            <w:vAlign w:val="center"/>
          </w:tcPr>
          <w:p w14:paraId="22C4BC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50</w:t>
            </w:r>
          </w:p>
        </w:tc>
      </w:tr>
      <w:tr w14:paraId="11EA0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29BBFE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06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50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E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rPr>
              <w:t>地质灾害隐患</w:t>
            </w:r>
          </w:p>
          <w:p w14:paraId="78687E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rPr>
              <w:t>排查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F2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eastAsia" w:ascii="Times New Roman" w:hAnsi="Times New Roman" w:eastAsia="仿宋_GB2312" w:cs="Times New Roman"/>
                <w:i w:val="0"/>
                <w:color w:val="000000"/>
                <w:sz w:val="28"/>
                <w:szCs w:val="28"/>
                <w:u w:val="none"/>
                <w:lang w:val="en-US" w:eastAsia="zh-CN"/>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5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50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60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次/年</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F9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15</w:t>
            </w:r>
            <w:r>
              <w:rPr>
                <w:rFonts w:hint="default" w:ascii="Times New Roman" w:hAnsi="Times New Roman" w:eastAsia="仿宋_GB2312" w:cs="Times New Roman"/>
                <w:i w:val="0"/>
                <w:color w:val="000000"/>
                <w:sz w:val="28"/>
                <w:szCs w:val="28"/>
                <w:u w:val="none"/>
                <w:lang w:val="en-US" w:eastAsia="zh-CN"/>
              </w:rPr>
              <w:t>%</w:t>
            </w:r>
          </w:p>
        </w:tc>
        <w:tc>
          <w:tcPr>
            <w:tcW w:w="2163" w:type="dxa"/>
            <w:tcBorders>
              <w:top w:val="single" w:color="000000" w:sz="4" w:space="0"/>
              <w:left w:val="single" w:color="000000" w:sz="4" w:space="0"/>
              <w:bottom w:val="single" w:color="000000" w:sz="4" w:space="0"/>
            </w:tcBorders>
            <w:shd w:val="clear" w:color="auto" w:fill="auto"/>
            <w:vAlign w:val="center"/>
          </w:tcPr>
          <w:p w14:paraId="4894FB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98</w:t>
            </w:r>
          </w:p>
        </w:tc>
      </w:tr>
      <w:tr w14:paraId="1E49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13A6BB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45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940" w:type="dxa"/>
            <w:vMerge w:val="restart"/>
            <w:tcBorders>
              <w:top w:val="single" w:color="000000" w:sz="4" w:space="0"/>
              <w:left w:val="single" w:color="000000" w:sz="4" w:space="0"/>
              <w:right w:val="single" w:color="000000" w:sz="4" w:space="0"/>
            </w:tcBorders>
            <w:shd w:val="clear" w:color="auto" w:fill="auto"/>
            <w:vAlign w:val="center"/>
          </w:tcPr>
          <w:p w14:paraId="135522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质量指标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17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保障重点项目</w:t>
            </w:r>
          </w:p>
          <w:p w14:paraId="49DC9D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用地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9D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定性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8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优</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A0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5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eastAsia" w:ascii="Times New Roman" w:hAnsi="Times New Roman" w:eastAsia="仿宋_GB2312" w:cs="Times New Roman"/>
                <w:i w:val="0"/>
                <w:color w:val="000000"/>
                <w:sz w:val="28"/>
                <w:szCs w:val="28"/>
                <w:u w:val="none"/>
                <w:lang w:val="en-US" w:eastAsia="zh-CN"/>
              </w:rPr>
              <w:t>15</w:t>
            </w:r>
            <w:r>
              <w:rPr>
                <w:rFonts w:hint="default" w:ascii="Times New Roman" w:hAnsi="Times New Roman" w:eastAsia="仿宋_GB2312" w:cs="Times New Roman"/>
                <w:i w:val="0"/>
                <w:color w:val="000000"/>
                <w:sz w:val="28"/>
                <w:szCs w:val="28"/>
                <w:u w:val="none"/>
                <w:lang w:val="en-US" w:eastAsia="zh-CN"/>
              </w:rPr>
              <w:t>%</w:t>
            </w:r>
          </w:p>
        </w:tc>
        <w:tc>
          <w:tcPr>
            <w:tcW w:w="2163" w:type="dxa"/>
            <w:tcBorders>
              <w:top w:val="single" w:color="000000" w:sz="4" w:space="0"/>
              <w:left w:val="single" w:color="000000" w:sz="4" w:space="0"/>
              <w:bottom w:val="single" w:color="000000" w:sz="4" w:space="0"/>
            </w:tcBorders>
            <w:shd w:val="clear" w:color="auto" w:fill="auto"/>
            <w:vAlign w:val="center"/>
          </w:tcPr>
          <w:p w14:paraId="147F7F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eastAsia" w:ascii="Times New Roman" w:hAnsi="Times New Roman" w:eastAsia="仿宋_GB2312" w:cs="Times New Roman"/>
                <w:i w:val="0"/>
                <w:color w:val="000000"/>
                <w:sz w:val="28"/>
                <w:szCs w:val="28"/>
                <w:u w:val="none"/>
                <w:lang w:val="en-US" w:eastAsia="zh-CN"/>
              </w:rPr>
              <w:t>优</w:t>
            </w:r>
          </w:p>
        </w:tc>
      </w:tr>
      <w:tr w14:paraId="480DB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4E1D3C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6E6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940" w:type="dxa"/>
            <w:vMerge w:val="continue"/>
            <w:tcBorders>
              <w:left w:val="single" w:color="000000" w:sz="4" w:space="0"/>
              <w:right w:val="single" w:color="000000" w:sz="4" w:space="0"/>
            </w:tcBorders>
            <w:shd w:val="clear" w:color="auto" w:fill="auto"/>
            <w:vAlign w:val="center"/>
          </w:tcPr>
          <w:p w14:paraId="1570D7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67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执法水平提升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F4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定性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48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优</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38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EB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10</w:t>
            </w:r>
            <w:r>
              <w:rPr>
                <w:rFonts w:hint="default" w:ascii="Times New Roman" w:hAnsi="Times New Roman" w:eastAsia="仿宋_GB2312" w:cs="Times New Roman"/>
                <w:i w:val="0"/>
                <w:color w:val="000000"/>
                <w:sz w:val="28"/>
                <w:szCs w:val="28"/>
                <w:u w:val="none"/>
                <w:lang w:val="en-US" w:eastAsia="zh-CN"/>
              </w:rPr>
              <w:t>%</w:t>
            </w:r>
          </w:p>
        </w:tc>
        <w:tc>
          <w:tcPr>
            <w:tcW w:w="2163" w:type="dxa"/>
            <w:tcBorders>
              <w:top w:val="single" w:color="000000" w:sz="4" w:space="0"/>
              <w:left w:val="single" w:color="000000" w:sz="4" w:space="0"/>
              <w:bottom w:val="single" w:color="000000" w:sz="4" w:space="0"/>
            </w:tcBorders>
            <w:shd w:val="clear" w:color="auto" w:fill="auto"/>
            <w:vAlign w:val="center"/>
          </w:tcPr>
          <w:p w14:paraId="7E5E72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优</w:t>
            </w:r>
          </w:p>
        </w:tc>
      </w:tr>
      <w:tr w14:paraId="4F101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30AFDA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88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9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时效指标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BD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完成时间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C0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BC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AA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年</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77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15%</w:t>
            </w:r>
          </w:p>
        </w:tc>
        <w:tc>
          <w:tcPr>
            <w:tcW w:w="2163" w:type="dxa"/>
            <w:tcBorders>
              <w:top w:val="single" w:color="000000" w:sz="4" w:space="0"/>
              <w:left w:val="single" w:color="000000" w:sz="4" w:space="0"/>
              <w:bottom w:val="single" w:color="000000" w:sz="4" w:space="0"/>
            </w:tcBorders>
            <w:shd w:val="clear" w:color="auto" w:fill="auto"/>
            <w:vAlign w:val="center"/>
          </w:tcPr>
          <w:p w14:paraId="5B8B8F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w:t>
            </w:r>
          </w:p>
        </w:tc>
      </w:tr>
      <w:tr w14:paraId="65B9A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74E628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restart"/>
            <w:tcBorders>
              <w:top w:val="single" w:color="000000" w:sz="4" w:space="0"/>
              <w:left w:val="single" w:color="000000" w:sz="4" w:space="0"/>
              <w:right w:val="single" w:color="000000" w:sz="4" w:space="0"/>
            </w:tcBorders>
            <w:shd w:val="clear" w:color="auto" w:fill="auto"/>
            <w:vAlign w:val="center"/>
          </w:tcPr>
          <w:p w14:paraId="7500EB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效益指标</w:t>
            </w:r>
          </w:p>
        </w:tc>
        <w:tc>
          <w:tcPr>
            <w:tcW w:w="1940" w:type="dxa"/>
            <w:vMerge w:val="restart"/>
            <w:tcBorders>
              <w:top w:val="single" w:color="000000" w:sz="4" w:space="0"/>
              <w:left w:val="single" w:color="000000" w:sz="4" w:space="0"/>
              <w:right w:val="single" w:color="000000" w:sz="4" w:space="0"/>
            </w:tcBorders>
            <w:shd w:val="clear" w:color="auto" w:fill="auto"/>
            <w:vAlign w:val="center"/>
          </w:tcPr>
          <w:p w14:paraId="72B012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i w:val="0"/>
                <w:color w:val="000000"/>
                <w:sz w:val="28"/>
                <w:szCs w:val="28"/>
                <w:u w:val="none"/>
                <w:lang w:val="en-US" w:eastAsia="zh-CN"/>
              </w:rPr>
              <w:t>社会效益</w:t>
            </w:r>
          </w:p>
          <w:p w14:paraId="31D820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7A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全年无人员伤亡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F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eastAsia" w:ascii="Times New Roman" w:hAnsi="Times New Roman" w:eastAsia="仿宋_GB2312" w:cs="Times New Roman"/>
                <w:i w:val="0"/>
                <w:color w:val="000000"/>
                <w:sz w:val="28"/>
                <w:szCs w:val="28"/>
                <w:u w:val="none"/>
                <w:lang w:val="en-US" w:eastAsia="zh-CN"/>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C1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E9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人/年</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CD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15%</w:t>
            </w:r>
          </w:p>
        </w:tc>
        <w:tc>
          <w:tcPr>
            <w:tcW w:w="2163" w:type="dxa"/>
            <w:tcBorders>
              <w:top w:val="single" w:color="000000" w:sz="4" w:space="0"/>
              <w:left w:val="single" w:color="000000" w:sz="4" w:space="0"/>
              <w:bottom w:val="single" w:color="000000" w:sz="4" w:space="0"/>
            </w:tcBorders>
            <w:shd w:val="clear" w:color="auto" w:fill="auto"/>
            <w:vAlign w:val="center"/>
          </w:tcPr>
          <w:p w14:paraId="22B29E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0</w:t>
            </w:r>
          </w:p>
        </w:tc>
      </w:tr>
      <w:tr w14:paraId="3A204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449CFB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continue"/>
            <w:tcBorders>
              <w:left w:val="single" w:color="000000" w:sz="4" w:space="0"/>
              <w:right w:val="single" w:color="000000" w:sz="4" w:space="0"/>
            </w:tcBorders>
            <w:shd w:val="clear" w:color="auto" w:fill="auto"/>
            <w:vAlign w:val="center"/>
          </w:tcPr>
          <w:p w14:paraId="02E8FB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940" w:type="dxa"/>
            <w:vMerge w:val="continue"/>
            <w:tcBorders>
              <w:top w:val="single" w:color="000000" w:sz="4" w:space="0"/>
              <w:left w:val="single" w:color="000000" w:sz="4" w:space="0"/>
              <w:right w:val="single" w:color="000000" w:sz="4" w:space="0"/>
            </w:tcBorders>
            <w:shd w:val="clear" w:color="auto" w:fill="auto"/>
            <w:vAlign w:val="center"/>
          </w:tcPr>
          <w:p w14:paraId="0308F6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E9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依法执行公务</w:t>
            </w:r>
          </w:p>
          <w:p w14:paraId="18F4A4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成绩显著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E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定性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C4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优</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FF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C9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15%</w:t>
            </w:r>
          </w:p>
        </w:tc>
        <w:tc>
          <w:tcPr>
            <w:tcW w:w="2163" w:type="dxa"/>
            <w:tcBorders>
              <w:top w:val="single" w:color="000000" w:sz="4" w:space="0"/>
              <w:left w:val="single" w:color="000000" w:sz="4" w:space="0"/>
              <w:bottom w:val="single" w:color="000000" w:sz="4" w:space="0"/>
            </w:tcBorders>
            <w:shd w:val="clear" w:color="auto" w:fill="auto"/>
            <w:vAlign w:val="center"/>
          </w:tcPr>
          <w:p w14:paraId="19FDCC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优</w:t>
            </w:r>
          </w:p>
        </w:tc>
      </w:tr>
      <w:tr w14:paraId="5A6BD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191204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continue"/>
            <w:tcBorders>
              <w:left w:val="single" w:color="000000" w:sz="4" w:space="0"/>
              <w:right w:val="single" w:color="000000" w:sz="4" w:space="0"/>
            </w:tcBorders>
            <w:shd w:val="clear" w:color="auto" w:fill="auto"/>
            <w:vAlign w:val="center"/>
          </w:tcPr>
          <w:p w14:paraId="3D5A94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BB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rPr>
            </w:pPr>
            <w:r>
              <w:rPr>
                <w:rFonts w:hint="eastAsia" w:ascii="Times New Roman" w:hAnsi="Times New Roman" w:eastAsia="仿宋_GB2312" w:cs="Times New Roman"/>
                <w:i w:val="0"/>
                <w:color w:val="000000"/>
                <w:sz w:val="28"/>
                <w:szCs w:val="28"/>
                <w:u w:val="none"/>
                <w:lang w:val="en-US" w:eastAsia="zh-CN"/>
              </w:rPr>
              <w:t>生态效益指标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62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避免建设挤占</w:t>
            </w:r>
          </w:p>
          <w:p w14:paraId="0E9988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生态空间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58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定性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A9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优</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4D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DC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15%</w:t>
            </w:r>
          </w:p>
        </w:tc>
        <w:tc>
          <w:tcPr>
            <w:tcW w:w="2163" w:type="dxa"/>
            <w:tcBorders>
              <w:top w:val="single" w:color="000000" w:sz="4" w:space="0"/>
              <w:left w:val="single" w:color="000000" w:sz="4" w:space="0"/>
              <w:bottom w:val="single" w:color="000000" w:sz="4" w:space="0"/>
            </w:tcBorders>
            <w:shd w:val="clear" w:color="auto" w:fill="auto"/>
            <w:vAlign w:val="center"/>
          </w:tcPr>
          <w:p w14:paraId="489C15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优</w:t>
            </w:r>
          </w:p>
        </w:tc>
      </w:tr>
      <w:tr w14:paraId="281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bottom w:val="single" w:color="000000" w:sz="4" w:space="0"/>
              <w:right w:val="single" w:color="000000" w:sz="4" w:space="0"/>
            </w:tcBorders>
            <w:shd w:val="clear" w:color="auto" w:fill="auto"/>
            <w:vAlign w:val="center"/>
          </w:tcPr>
          <w:p w14:paraId="0327A6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171" w:type="dxa"/>
            <w:vMerge w:val="continue"/>
            <w:tcBorders>
              <w:left w:val="single" w:color="000000" w:sz="4" w:space="0"/>
              <w:bottom w:val="single" w:color="000000" w:sz="4" w:space="0"/>
              <w:right w:val="single" w:color="000000" w:sz="4" w:space="0"/>
            </w:tcBorders>
            <w:shd w:val="clear" w:color="auto" w:fill="auto"/>
            <w:vAlign w:val="center"/>
          </w:tcPr>
          <w:p w14:paraId="7DC2F0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B3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可持续影响</w:t>
            </w:r>
          </w:p>
          <w:p w14:paraId="2E4444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6D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报征建设用地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1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4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年</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0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15%</w:t>
            </w:r>
          </w:p>
        </w:tc>
        <w:tc>
          <w:tcPr>
            <w:tcW w:w="2163" w:type="dxa"/>
            <w:tcBorders>
              <w:top w:val="single" w:color="000000" w:sz="4" w:space="0"/>
              <w:left w:val="single" w:color="000000" w:sz="4" w:space="0"/>
              <w:bottom w:val="single" w:color="000000" w:sz="4" w:space="0"/>
            </w:tcBorders>
            <w:shd w:val="clear" w:color="auto" w:fill="auto"/>
            <w:vAlign w:val="center"/>
          </w:tcPr>
          <w:p w14:paraId="46597D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w:t>
            </w:r>
          </w:p>
        </w:tc>
      </w:tr>
      <w:tr w14:paraId="41FE1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563" w:type="dxa"/>
            <w:vMerge w:val="continue"/>
            <w:tcBorders>
              <w:top w:val="single" w:color="000000" w:sz="4" w:space="0"/>
              <w:right w:val="single" w:color="000000" w:sz="4" w:space="0"/>
            </w:tcBorders>
            <w:shd w:val="clear" w:color="auto" w:fill="auto"/>
            <w:vAlign w:val="center"/>
          </w:tcPr>
          <w:p w14:paraId="0AA5920F">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default" w:ascii="Times New Roman" w:hAnsi="Times New Roman" w:eastAsia="宋体" w:cs="Times New Roman"/>
                <w:i w:val="0"/>
                <w:color w:val="000000"/>
                <w:sz w:val="24"/>
                <w:szCs w:val="24"/>
                <w:u w:val="none"/>
              </w:rPr>
            </w:pPr>
          </w:p>
        </w:tc>
        <w:tc>
          <w:tcPr>
            <w:tcW w:w="1171" w:type="dxa"/>
            <w:tcBorders>
              <w:top w:val="single" w:color="000000" w:sz="4" w:space="0"/>
              <w:left w:val="single" w:color="000000" w:sz="4" w:space="0"/>
              <w:right w:val="single" w:color="000000" w:sz="4" w:space="0"/>
            </w:tcBorders>
            <w:shd w:val="clear" w:color="auto" w:fill="auto"/>
            <w:vAlign w:val="center"/>
          </w:tcPr>
          <w:p w14:paraId="305E18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i w:val="0"/>
                <w:color w:val="000000"/>
                <w:sz w:val="28"/>
                <w:szCs w:val="28"/>
                <w:u w:val="none"/>
                <w:lang w:val="en-US" w:eastAsia="zh-CN"/>
              </w:rPr>
              <w:t>满意度</w:t>
            </w:r>
          </w:p>
          <w:p w14:paraId="682DA2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指标</w:t>
            </w:r>
          </w:p>
        </w:tc>
        <w:tc>
          <w:tcPr>
            <w:tcW w:w="1940" w:type="dxa"/>
            <w:tcBorders>
              <w:top w:val="single" w:color="000000" w:sz="4" w:space="0"/>
              <w:left w:val="single" w:color="000000" w:sz="4" w:space="0"/>
              <w:right w:val="single" w:color="000000" w:sz="4" w:space="0"/>
            </w:tcBorders>
            <w:shd w:val="clear" w:color="auto" w:fill="auto"/>
            <w:vAlign w:val="center"/>
          </w:tcPr>
          <w:p w14:paraId="642455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val="en-US" w:eastAsia="zh-CN"/>
              </w:rPr>
              <w:t>满意度指标</w:t>
            </w:r>
          </w:p>
        </w:tc>
        <w:tc>
          <w:tcPr>
            <w:tcW w:w="2244" w:type="dxa"/>
            <w:tcBorders>
              <w:top w:val="single" w:color="000000" w:sz="4" w:space="0"/>
              <w:left w:val="single" w:color="000000" w:sz="4" w:space="0"/>
              <w:right w:val="single" w:color="000000" w:sz="4" w:space="0"/>
            </w:tcBorders>
            <w:shd w:val="clear" w:color="auto" w:fill="auto"/>
            <w:vAlign w:val="center"/>
          </w:tcPr>
          <w:p w14:paraId="07B2F6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群众满意度</w:t>
            </w:r>
          </w:p>
        </w:tc>
        <w:tc>
          <w:tcPr>
            <w:tcW w:w="1056" w:type="dxa"/>
            <w:tcBorders>
              <w:top w:val="single" w:color="000000" w:sz="4" w:space="0"/>
              <w:left w:val="single" w:color="000000" w:sz="4" w:space="0"/>
              <w:right w:val="single" w:color="000000" w:sz="4" w:space="0"/>
            </w:tcBorders>
            <w:shd w:val="clear" w:color="auto" w:fill="auto"/>
            <w:vAlign w:val="center"/>
          </w:tcPr>
          <w:p w14:paraId="591ED8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rPr>
            </w:pPr>
            <w:r>
              <w:rPr>
                <w:rFonts w:hint="eastAsia" w:ascii="Times New Roman" w:hAnsi="Times New Roman" w:eastAsia="仿宋_GB2312" w:cs="Times New Roman"/>
                <w:i w:val="0"/>
                <w:color w:val="000000"/>
                <w:sz w:val="28"/>
                <w:szCs w:val="28"/>
                <w:u w:val="none"/>
                <w:lang w:val="en-US" w:eastAsia="zh-CN"/>
              </w:rPr>
              <w:t>≧</w:t>
            </w:r>
          </w:p>
        </w:tc>
        <w:tc>
          <w:tcPr>
            <w:tcW w:w="1421" w:type="dxa"/>
            <w:tcBorders>
              <w:top w:val="single" w:color="000000" w:sz="4" w:space="0"/>
              <w:left w:val="single" w:color="000000" w:sz="4" w:space="0"/>
              <w:right w:val="single" w:color="000000" w:sz="4" w:space="0"/>
            </w:tcBorders>
            <w:shd w:val="clear" w:color="auto" w:fill="auto"/>
            <w:vAlign w:val="center"/>
          </w:tcPr>
          <w:p w14:paraId="31645A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95</w:t>
            </w:r>
          </w:p>
        </w:tc>
        <w:tc>
          <w:tcPr>
            <w:tcW w:w="1089" w:type="dxa"/>
            <w:tcBorders>
              <w:top w:val="single" w:color="000000" w:sz="4" w:space="0"/>
              <w:left w:val="single" w:color="000000" w:sz="4" w:space="0"/>
              <w:right w:val="single" w:color="000000" w:sz="4" w:space="0"/>
            </w:tcBorders>
            <w:shd w:val="clear" w:color="auto" w:fill="auto"/>
            <w:vAlign w:val="center"/>
          </w:tcPr>
          <w:p w14:paraId="5BC46C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w:t>
            </w:r>
          </w:p>
        </w:tc>
        <w:tc>
          <w:tcPr>
            <w:tcW w:w="1358" w:type="dxa"/>
            <w:tcBorders>
              <w:top w:val="single" w:color="000000" w:sz="4" w:space="0"/>
              <w:left w:val="single" w:color="000000" w:sz="4" w:space="0"/>
              <w:right w:val="single" w:color="000000" w:sz="4" w:space="0"/>
            </w:tcBorders>
            <w:shd w:val="clear" w:color="auto" w:fill="auto"/>
            <w:vAlign w:val="center"/>
          </w:tcPr>
          <w:p w14:paraId="69BF5A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10%</w:t>
            </w:r>
          </w:p>
        </w:tc>
        <w:tc>
          <w:tcPr>
            <w:tcW w:w="2163" w:type="dxa"/>
            <w:tcBorders>
              <w:top w:val="single" w:color="000000" w:sz="4" w:space="0"/>
              <w:left w:val="single" w:color="000000" w:sz="4" w:space="0"/>
            </w:tcBorders>
            <w:shd w:val="clear" w:color="auto" w:fill="auto"/>
            <w:vAlign w:val="center"/>
          </w:tcPr>
          <w:p w14:paraId="28DD02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95</w:t>
            </w:r>
          </w:p>
        </w:tc>
      </w:tr>
    </w:tbl>
    <w:p w14:paraId="2A588E2A">
      <w:pPr>
        <w:pStyle w:val="11"/>
        <w:spacing w:line="360" w:lineRule="auto"/>
        <w:ind w:left="0" w:leftChars="0" w:firstLine="0" w:firstLineChars="0"/>
        <w:rPr>
          <w:rFonts w:hint="default" w:ascii="Times New Roman" w:hAnsi="Times New Roman" w:eastAsia="黑体" w:cs="Times New Roman"/>
          <w:sz w:val="24"/>
          <w:szCs w:val="24"/>
          <w:highlight w:val="none"/>
          <w:lang w:val="en-US" w:eastAsia="zh-CN"/>
        </w:rPr>
      </w:pPr>
    </w:p>
    <w:sectPr>
      <w:pgSz w:w="16838" w:h="11906" w:orient="landscape"/>
      <w:pgMar w:top="1531" w:right="1474" w:bottom="1417" w:left="1587" w:header="851" w:footer="1049"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CD12D">
    <w:pPr>
      <w:pStyle w:val="7"/>
    </w:pPr>
  </w:p>
  <w:p w14:paraId="6AF09E6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CB54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BCB54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E397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22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197887"/>
    <w:rsid w:val="02B40E52"/>
    <w:rsid w:val="03985775"/>
    <w:rsid w:val="04B05EA8"/>
    <w:rsid w:val="08EC41AE"/>
    <w:rsid w:val="0A832E3C"/>
    <w:rsid w:val="0A984F67"/>
    <w:rsid w:val="0B391899"/>
    <w:rsid w:val="0DC31556"/>
    <w:rsid w:val="0DE454AF"/>
    <w:rsid w:val="10F50AC3"/>
    <w:rsid w:val="1A3D6143"/>
    <w:rsid w:val="1C013801"/>
    <w:rsid w:val="1DFD8D3B"/>
    <w:rsid w:val="1EEB7A66"/>
    <w:rsid w:val="1FB79DC9"/>
    <w:rsid w:val="1FBFC3F2"/>
    <w:rsid w:val="1FFFE033"/>
    <w:rsid w:val="25131DE3"/>
    <w:rsid w:val="27F352A6"/>
    <w:rsid w:val="2D527252"/>
    <w:rsid w:val="2D8E211C"/>
    <w:rsid w:val="2DDC1740"/>
    <w:rsid w:val="2EAE55F2"/>
    <w:rsid w:val="2EDF4302"/>
    <w:rsid w:val="2EFE1A04"/>
    <w:rsid w:val="332FC527"/>
    <w:rsid w:val="35BBF80F"/>
    <w:rsid w:val="3B005727"/>
    <w:rsid w:val="3B736F08"/>
    <w:rsid w:val="3BE3D531"/>
    <w:rsid w:val="3D431A40"/>
    <w:rsid w:val="3EFF42CA"/>
    <w:rsid w:val="3FD5AF3D"/>
    <w:rsid w:val="3FFED8BE"/>
    <w:rsid w:val="3FFF43BB"/>
    <w:rsid w:val="433DCF8E"/>
    <w:rsid w:val="45D50E65"/>
    <w:rsid w:val="45FF973D"/>
    <w:rsid w:val="47550EBA"/>
    <w:rsid w:val="4BF7E09D"/>
    <w:rsid w:val="53BB74FC"/>
    <w:rsid w:val="55FDDF92"/>
    <w:rsid w:val="55FFBC03"/>
    <w:rsid w:val="56CDA72E"/>
    <w:rsid w:val="576F5916"/>
    <w:rsid w:val="577FDAE2"/>
    <w:rsid w:val="57FBE2C7"/>
    <w:rsid w:val="58D47500"/>
    <w:rsid w:val="5B335734"/>
    <w:rsid w:val="5B7F322F"/>
    <w:rsid w:val="5BCAB023"/>
    <w:rsid w:val="5CF54B1C"/>
    <w:rsid w:val="5D6F88F9"/>
    <w:rsid w:val="5DDA9B94"/>
    <w:rsid w:val="5EAB810D"/>
    <w:rsid w:val="5EFF9DA6"/>
    <w:rsid w:val="5F7751B9"/>
    <w:rsid w:val="5F9F7232"/>
    <w:rsid w:val="5F9F9588"/>
    <w:rsid w:val="5FB7C201"/>
    <w:rsid w:val="5FBD32D2"/>
    <w:rsid w:val="5FD450B0"/>
    <w:rsid w:val="5FEF60CD"/>
    <w:rsid w:val="5FFB203D"/>
    <w:rsid w:val="5FFB8CF9"/>
    <w:rsid w:val="63DBAF21"/>
    <w:rsid w:val="63F12994"/>
    <w:rsid w:val="6636451A"/>
    <w:rsid w:val="670D2EF0"/>
    <w:rsid w:val="67DE80AA"/>
    <w:rsid w:val="697E3B47"/>
    <w:rsid w:val="69BF132E"/>
    <w:rsid w:val="6AA67D9D"/>
    <w:rsid w:val="6BFEE5F3"/>
    <w:rsid w:val="6CAFF34E"/>
    <w:rsid w:val="6CFFCF4F"/>
    <w:rsid w:val="6D02255C"/>
    <w:rsid w:val="6DFF8ACB"/>
    <w:rsid w:val="6DFFF8B6"/>
    <w:rsid w:val="6EEDE807"/>
    <w:rsid w:val="6EEE4BE4"/>
    <w:rsid w:val="6EF65E9C"/>
    <w:rsid w:val="6F3D9197"/>
    <w:rsid w:val="6FAB3EC4"/>
    <w:rsid w:val="6FB6AF41"/>
    <w:rsid w:val="6FD894C8"/>
    <w:rsid w:val="6FE36A9E"/>
    <w:rsid w:val="6FEFB2D1"/>
    <w:rsid w:val="6FFF97E6"/>
    <w:rsid w:val="71397E03"/>
    <w:rsid w:val="71FB5B08"/>
    <w:rsid w:val="73FB87D9"/>
    <w:rsid w:val="75EF0FBA"/>
    <w:rsid w:val="7607C293"/>
    <w:rsid w:val="76DFA4E8"/>
    <w:rsid w:val="778720BD"/>
    <w:rsid w:val="77A7D615"/>
    <w:rsid w:val="77CF4EC7"/>
    <w:rsid w:val="77FF366A"/>
    <w:rsid w:val="77FF8C96"/>
    <w:rsid w:val="77FFA8F9"/>
    <w:rsid w:val="7976604B"/>
    <w:rsid w:val="79F3BC78"/>
    <w:rsid w:val="7A5B6CAA"/>
    <w:rsid w:val="7A9314AC"/>
    <w:rsid w:val="7B4F6850"/>
    <w:rsid w:val="7BABD5C4"/>
    <w:rsid w:val="7BB12055"/>
    <w:rsid w:val="7BBFADBA"/>
    <w:rsid w:val="7BFF492D"/>
    <w:rsid w:val="7C631402"/>
    <w:rsid w:val="7C978C63"/>
    <w:rsid w:val="7CA35AD0"/>
    <w:rsid w:val="7CDF8BC3"/>
    <w:rsid w:val="7CEB72A5"/>
    <w:rsid w:val="7D18750B"/>
    <w:rsid w:val="7D9ED120"/>
    <w:rsid w:val="7DDFDC39"/>
    <w:rsid w:val="7E140770"/>
    <w:rsid w:val="7E5D92FB"/>
    <w:rsid w:val="7EF51D64"/>
    <w:rsid w:val="7EFFF488"/>
    <w:rsid w:val="7F3BBBFA"/>
    <w:rsid w:val="7F574612"/>
    <w:rsid w:val="7F7F4920"/>
    <w:rsid w:val="7F8F00B4"/>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7EFECCF"/>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F7406A"/>
    <w:rsid w:val="BE673B79"/>
    <w:rsid w:val="BE6FD8DB"/>
    <w:rsid w:val="BEEF57C2"/>
    <w:rsid w:val="BF6D5596"/>
    <w:rsid w:val="BFBEBB2C"/>
    <w:rsid w:val="BFC68935"/>
    <w:rsid w:val="BFDD0F1D"/>
    <w:rsid w:val="BFDDD096"/>
    <w:rsid w:val="C5B3F496"/>
    <w:rsid w:val="C96F3E49"/>
    <w:rsid w:val="C9DC4828"/>
    <w:rsid w:val="CBBF14F3"/>
    <w:rsid w:val="CBBFDC67"/>
    <w:rsid w:val="CBE5DCF2"/>
    <w:rsid w:val="CCFCC735"/>
    <w:rsid w:val="CEEB8A74"/>
    <w:rsid w:val="D37FB642"/>
    <w:rsid w:val="D4E7CC13"/>
    <w:rsid w:val="D7BCD4BF"/>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C183F"/>
    <w:rsid w:val="F7FD93B9"/>
    <w:rsid w:val="FABF64A5"/>
    <w:rsid w:val="FABF7411"/>
    <w:rsid w:val="FBA53981"/>
    <w:rsid w:val="FBE4457E"/>
    <w:rsid w:val="FBFC558A"/>
    <w:rsid w:val="FBFF71AC"/>
    <w:rsid w:val="FBFFEA2B"/>
    <w:rsid w:val="FCBB4792"/>
    <w:rsid w:val="FCCB27AA"/>
    <w:rsid w:val="FCFEE68A"/>
    <w:rsid w:val="FCFF8F4B"/>
    <w:rsid w:val="FD7D0793"/>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48F3"/>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4">
    <w:name w:val="Document Map"/>
    <w:basedOn w:val="1"/>
    <w:link w:val="20"/>
    <w:qFormat/>
    <w:uiPriority w:val="0"/>
    <w:rPr>
      <w:rFonts w:ascii="宋体" w:eastAsia="宋体"/>
      <w:sz w:val="18"/>
      <w:szCs w:val="18"/>
    </w:rPr>
  </w:style>
  <w:style w:type="paragraph" w:styleId="5">
    <w:name w:val="Body Text Indent"/>
    <w:basedOn w:val="1"/>
    <w:qFormat/>
    <w:uiPriority w:val="0"/>
    <w:pPr>
      <w:spacing w:after="120"/>
      <w:ind w:leftChars="200"/>
    </w:pPr>
    <w:rPr>
      <w:rFonts w:ascii="仿宋_GB2312"/>
      <w:szCs w:val="32"/>
    </w:rPr>
  </w:style>
  <w:style w:type="paragraph" w:styleId="6">
    <w:name w:val="Balloon Text"/>
    <w:basedOn w:val="1"/>
    <w:semiHidden/>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toc 1"/>
    <w:basedOn w:val="1"/>
    <w:next w:val="1"/>
    <w:qFormat/>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8">
    <w:name w:val="四号正文"/>
    <w:basedOn w:val="1"/>
    <w:link w:val="19"/>
    <w:qFormat/>
    <w:uiPriority w:val="0"/>
    <w:pPr>
      <w:spacing w:line="360" w:lineRule="auto"/>
    </w:pPr>
    <w:rPr>
      <w:rFonts w:ascii="??" w:hAnsi="??" w:eastAsia="宋体" w:cs="宋体"/>
      <w:color w:val="000000"/>
      <w:kern w:val="0"/>
      <w:sz w:val="28"/>
      <w:szCs w:val="21"/>
    </w:rPr>
  </w:style>
  <w:style w:type="character" w:customStyle="1" w:styleId="19">
    <w:name w:val="四号正文 Char"/>
    <w:basedOn w:val="14"/>
    <w:link w:val="18"/>
    <w:qFormat/>
    <w:uiPriority w:val="0"/>
    <w:rPr>
      <w:rFonts w:ascii="??" w:hAnsi="??" w:eastAsia="宋体" w:cs="宋体"/>
      <w:color w:val="000000"/>
      <w:sz w:val="28"/>
      <w:szCs w:val="21"/>
      <w:lang w:val="en-US" w:eastAsia="zh-CN" w:bidi="ar-SA"/>
    </w:rPr>
  </w:style>
  <w:style w:type="character" w:customStyle="1" w:styleId="20">
    <w:name w:val="文档结构图 Char"/>
    <w:basedOn w:val="14"/>
    <w:link w:val="4"/>
    <w:qFormat/>
    <w:uiPriority w:val="0"/>
    <w:rPr>
      <w:rFonts w:ascii="宋体"/>
      <w:kern w:val="2"/>
      <w:sz w:val="18"/>
      <w:szCs w:val="18"/>
    </w:rPr>
  </w:style>
  <w:style w:type="paragraph" w:customStyle="1" w:styleId="21">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页脚 Char"/>
    <w:basedOn w:val="14"/>
    <w:link w:val="7"/>
    <w:qFormat/>
    <w:uiPriority w:val="99"/>
    <w:rPr>
      <w:kern w:val="2"/>
      <w:sz w:val="18"/>
      <w:szCs w:val="18"/>
    </w:rPr>
  </w:style>
  <w:style w:type="character" w:customStyle="1" w:styleId="23">
    <w:name w:val="font31"/>
    <w:basedOn w:val="14"/>
    <w:qFormat/>
    <w:uiPriority w:val="0"/>
    <w:rPr>
      <w:rFonts w:hint="eastAsia" w:ascii="宋体" w:hAnsi="宋体" w:eastAsia="宋体" w:cs="宋体"/>
      <w:color w:val="000000"/>
      <w:sz w:val="24"/>
      <w:szCs w:val="24"/>
      <w:u w:val="none"/>
    </w:rPr>
  </w:style>
  <w:style w:type="character" w:customStyle="1" w:styleId="24">
    <w:name w:val="font51"/>
    <w:basedOn w:val="14"/>
    <w:qFormat/>
    <w:uiPriority w:val="0"/>
    <w:rPr>
      <w:rFonts w:hint="default" w:ascii="Wingdings 2" w:hAnsi="Wingdings 2" w:eastAsia="Wingdings 2" w:cs="Wingdings 2"/>
      <w:color w:val="000000"/>
      <w:sz w:val="18"/>
      <w:szCs w:val="18"/>
      <w:u w:val="none"/>
    </w:rPr>
  </w:style>
  <w:style w:type="character" w:customStyle="1" w:styleId="25">
    <w:name w:val="font01"/>
    <w:basedOn w:val="14"/>
    <w:qFormat/>
    <w:uiPriority w:val="0"/>
    <w:rPr>
      <w:rFonts w:ascii="宋体" w:hAnsi="宋体" w:eastAsia="宋体" w:cs="宋体"/>
      <w:color w:val="000000"/>
      <w:sz w:val="18"/>
      <w:szCs w:val="18"/>
      <w:u w:val="none"/>
    </w:rPr>
  </w:style>
  <w:style w:type="character" w:customStyle="1" w:styleId="26">
    <w:name w:val="font41"/>
    <w:basedOn w:val="14"/>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9</Pages>
  <Words>3302</Words>
  <Characters>3632</Characters>
  <Lines>2</Lines>
  <Paragraphs>1</Paragraphs>
  <TotalTime>5</TotalTime>
  <ScaleCrop>false</ScaleCrop>
  <LinksUpToDate>false</LinksUpToDate>
  <CharactersWithSpaces>3640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2019-05-29T19:06:00Z</dcterms:created>
  <dc:creator>陈萍</dc:creator>
  <cp:lastModifiedBy> </cp:lastModifiedBy>
  <cp:lastPrinted>2025-05-20T09:31:00Z</cp:lastPrinted>
  <dcterms:modified xsi:type="dcterms:W3CDTF">2025-08-18T02:53:51Z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C0FCC9F4C15575AD2FD1F567C9881326</vt:lpwstr>
  </property>
  <property fmtid="{D5CDD505-2E9C-101B-9397-08002B2CF9AE}" pid="4" name="KSOTemplateDocerSaveRecord">
    <vt:lpwstr>eyJoZGlkIjoiMzRlM2M2MjQ0NDBiNWE2M2YzMjMxMDQyZWU1Y2RlZWYiLCJ1c2VySWQiOiI0Mzg4OTAyMDEifQ==</vt:lpwstr>
  </property>
</Properties>
</file>