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600" w:lineRule="exact"/>
        <w:rPr>
          <w:rFonts w:ascii="Times New Roman" w:hAnsi="Times New Roman" w:eastAsia="方正小标宋简体"/>
          <w:color w:val="auto"/>
          <w:kern w:val="2"/>
          <w:sz w:val="40"/>
          <w:szCs w:val="40"/>
          <w:lang w:val="en-US"/>
        </w:rPr>
      </w:pPr>
    </w:p>
    <w:p>
      <w:pPr>
        <w:pStyle w:val="8"/>
        <w:spacing w:line="600" w:lineRule="exact"/>
        <w:rPr>
          <w:rFonts w:ascii="Times New Roman" w:hAnsi="Times New Roman" w:eastAsia="方正小标宋简体"/>
          <w:color w:val="auto"/>
          <w:kern w:val="2"/>
          <w:sz w:val="40"/>
          <w:szCs w:val="40"/>
          <w:lang w:val="en-US"/>
        </w:rPr>
      </w:pPr>
    </w:p>
    <w:p>
      <w:pPr>
        <w:pStyle w:val="8"/>
        <w:spacing w:line="600" w:lineRule="exact"/>
        <w:jc w:val="center"/>
        <w:rPr>
          <w:rFonts w:hint="eastAsia" w:ascii="方正小标宋简体" w:hAnsi="Times New Roman" w:eastAsia="方正小标宋简体"/>
          <w:color w:val="auto"/>
          <w:kern w:val="2"/>
          <w:sz w:val="44"/>
          <w:szCs w:val="44"/>
          <w:lang w:val="en-US"/>
        </w:rPr>
      </w:pPr>
      <w:r>
        <w:rPr>
          <w:rFonts w:hint="eastAsia" w:ascii="方正小标宋简体" w:hAnsi="Times New Roman" w:eastAsia="方正小标宋简体"/>
          <w:color w:val="auto"/>
          <w:kern w:val="2"/>
          <w:sz w:val="44"/>
          <w:szCs w:val="44"/>
          <w:lang w:val="en-US"/>
        </w:rPr>
        <w:t>遂宁市自然资源和规划局</w:t>
      </w:r>
    </w:p>
    <w:p>
      <w:pPr>
        <w:pStyle w:val="8"/>
        <w:spacing w:line="600" w:lineRule="exact"/>
        <w:jc w:val="center"/>
        <w:rPr>
          <w:rFonts w:hint="eastAsia" w:ascii="方正小标宋简体" w:hAnsi="Times New Roman" w:eastAsia="方正小标宋简体"/>
          <w:color w:val="auto"/>
          <w:kern w:val="2"/>
          <w:sz w:val="44"/>
          <w:szCs w:val="44"/>
          <w:lang w:val="en-US"/>
        </w:rPr>
      </w:pPr>
      <w:r>
        <w:rPr>
          <w:rFonts w:hint="eastAsia" w:ascii="方正小标宋简体" w:hAnsi="Times New Roman" w:eastAsia="方正小标宋简体"/>
          <w:color w:val="auto"/>
          <w:kern w:val="2"/>
          <w:sz w:val="44"/>
          <w:szCs w:val="44"/>
          <w:lang w:val="en-US"/>
        </w:rPr>
        <w:t>关于“遂宁市涪江流域山水林田湖草一体化</w:t>
      </w:r>
    </w:p>
    <w:p>
      <w:pPr>
        <w:pStyle w:val="8"/>
        <w:spacing w:line="600" w:lineRule="exact"/>
        <w:jc w:val="center"/>
        <w:rPr>
          <w:rFonts w:hint="eastAsia" w:ascii="方正小标宋简体" w:hAnsi="Times New Roman" w:eastAsia="方正小标宋简体"/>
          <w:color w:val="auto"/>
          <w:kern w:val="2"/>
          <w:sz w:val="44"/>
          <w:szCs w:val="44"/>
          <w:lang w:val="en-US"/>
        </w:rPr>
      </w:pPr>
      <w:r>
        <w:rPr>
          <w:rFonts w:hint="eastAsia" w:ascii="方正小标宋简体" w:hAnsi="Times New Roman" w:eastAsia="方正小标宋简体"/>
          <w:color w:val="auto"/>
          <w:kern w:val="2"/>
          <w:sz w:val="44"/>
          <w:szCs w:val="44"/>
          <w:lang w:val="en-US"/>
        </w:rPr>
        <w:t>保护和修复工程实施方案”项目</w:t>
      </w:r>
    </w:p>
    <w:p>
      <w:pPr>
        <w:pStyle w:val="8"/>
        <w:spacing w:line="600" w:lineRule="exact"/>
        <w:jc w:val="center"/>
        <w:rPr>
          <w:rFonts w:hint="eastAsia" w:ascii="方正小标宋简体" w:hAnsi="Times New Roman" w:eastAsia="方正小标宋简体"/>
          <w:color w:val="auto"/>
          <w:kern w:val="2"/>
          <w:sz w:val="44"/>
          <w:szCs w:val="44"/>
          <w:lang w:val="en-US"/>
        </w:rPr>
      </w:pPr>
      <w:r>
        <w:rPr>
          <w:rFonts w:hint="eastAsia" w:ascii="方正小标宋简体" w:hAnsi="Times New Roman" w:eastAsia="方正小标宋简体"/>
          <w:color w:val="auto"/>
          <w:kern w:val="2"/>
          <w:sz w:val="44"/>
          <w:szCs w:val="44"/>
          <w:lang w:val="en-US"/>
        </w:rPr>
        <w:t>支出绩效自评报告</w:t>
      </w:r>
    </w:p>
    <w:p>
      <w:pPr>
        <w:pStyle w:val="8"/>
        <w:spacing w:line="600" w:lineRule="exact"/>
        <w:jc w:val="center"/>
        <w:rPr>
          <w:rFonts w:ascii="Times New Roman" w:hAnsi="Times New Roman"/>
          <w:color w:val="auto"/>
          <w:kern w:val="2"/>
          <w:sz w:val="32"/>
          <w:szCs w:val="32"/>
        </w:rPr>
      </w:pPr>
    </w:p>
    <w:p>
      <w:pPr>
        <w:adjustRightInd w:val="0"/>
        <w:snapToGrid w:val="0"/>
        <w:spacing w:line="560" w:lineRule="exact"/>
        <w:rPr>
          <w:szCs w:val="32"/>
        </w:rPr>
      </w:pPr>
      <w:r>
        <w:rPr>
          <w:szCs w:val="32"/>
          <w:lang w:bidi="ar"/>
        </w:rPr>
        <w:t>市财政局：</w:t>
      </w:r>
    </w:p>
    <w:p>
      <w:pPr>
        <w:adjustRightInd w:val="0"/>
        <w:snapToGrid w:val="0"/>
        <w:spacing w:line="560" w:lineRule="exact"/>
        <w:ind w:firstLine="640" w:firstLineChars="200"/>
        <w:rPr>
          <w:szCs w:val="32"/>
        </w:rPr>
      </w:pPr>
      <w:r>
        <w:rPr>
          <w:szCs w:val="32"/>
          <w:lang w:bidi="ar"/>
        </w:rPr>
        <w:t>按照《关于开展2024年部门、项目、政策支出绩效自评工作的通知》（遂财绩〔2024〕3号）要求，我局认真开展《遂宁市涪江流域山水林田湖草一体化保护和修复工程实施方案》支出绩效自评工作，现将相关情况报告如下。</w:t>
      </w:r>
    </w:p>
    <w:p>
      <w:pPr>
        <w:adjustRightInd w:val="0"/>
        <w:snapToGrid w:val="0"/>
        <w:spacing w:line="560" w:lineRule="exact"/>
        <w:ind w:firstLine="640" w:firstLineChars="200"/>
        <w:rPr>
          <w:rFonts w:eastAsia="黑体"/>
          <w:lang w:val="zh-CN"/>
        </w:rPr>
      </w:pPr>
      <w:r>
        <w:rPr>
          <w:rFonts w:eastAsia="黑体"/>
        </w:rPr>
        <w:t>一、</w:t>
      </w:r>
      <w:r>
        <w:rPr>
          <w:rFonts w:eastAsia="黑体"/>
          <w:lang w:val="zh-CN"/>
        </w:rPr>
        <w:t>项目概况</w:t>
      </w:r>
    </w:p>
    <w:p>
      <w:pPr>
        <w:adjustRightInd w:val="0"/>
        <w:snapToGrid w:val="0"/>
        <w:spacing w:line="560" w:lineRule="exact"/>
        <w:ind w:firstLine="640" w:firstLineChars="200"/>
        <w:rPr>
          <w:rFonts w:eastAsia="楷体_GB2312"/>
          <w:lang w:val="zh-CN"/>
        </w:rPr>
      </w:pPr>
      <w:r>
        <w:rPr>
          <w:rFonts w:eastAsia="楷体_GB2312"/>
          <w:lang w:val="zh-CN"/>
        </w:rPr>
        <w:t>（一）项目基本情况</w:t>
      </w:r>
    </w:p>
    <w:p>
      <w:pPr>
        <w:adjustRightInd w:val="0"/>
        <w:snapToGrid w:val="0"/>
        <w:spacing w:line="560" w:lineRule="exact"/>
        <w:ind w:firstLine="640" w:firstLineChars="200"/>
      </w:pPr>
      <w:r>
        <w:t>1.主管部门职能</w:t>
      </w:r>
    </w:p>
    <w:p>
      <w:pPr>
        <w:adjustRightInd w:val="0"/>
        <w:snapToGrid w:val="0"/>
        <w:spacing w:line="560" w:lineRule="exact"/>
        <w:ind w:firstLine="640" w:firstLineChars="200"/>
      </w:pPr>
      <w:r>
        <w:rPr>
          <w:rFonts w:hint="eastAsia" w:ascii="仿宋_GB2312"/>
          <w:lang w:val="zh-CN"/>
        </w:rPr>
        <w:t>“遂宁市涪江流域山水林田湖草一体化保护和修复工程实施方案”（以下简称实“</w:t>
      </w:r>
      <w:r>
        <w:rPr>
          <w:rFonts w:hint="eastAsia" w:ascii="仿宋_GB2312"/>
        </w:rPr>
        <w:t>山水工程</w:t>
      </w:r>
      <w:r>
        <w:rPr>
          <w:rFonts w:hint="eastAsia" w:ascii="仿宋_GB2312"/>
          <w:lang w:val="zh-CN"/>
        </w:rPr>
        <w:t>施方案”）</w:t>
      </w:r>
      <w:r>
        <w:t>作为遂宁市国土空间生态修复规划的进一步细化，是重点工程落地落实的重要保障，根据《四川省自然资源厅国土空间生态修复处关于收集山水林田湖草沙一体化保护和修复工程项目素材的通知》（厅修复函〔2023〕30 号）要求，我局2023年启动“山水工程实施方案”编制项目。</w:t>
      </w:r>
    </w:p>
    <w:p>
      <w:pPr>
        <w:adjustRightInd w:val="0"/>
        <w:snapToGrid w:val="0"/>
        <w:spacing w:line="560" w:lineRule="exact"/>
        <w:ind w:firstLine="640" w:firstLineChars="200"/>
      </w:pPr>
      <w:r>
        <w:t>2.立项依据</w:t>
      </w:r>
    </w:p>
    <w:p>
      <w:pPr>
        <w:adjustRightInd w:val="0"/>
        <w:snapToGrid w:val="0"/>
        <w:spacing w:line="560" w:lineRule="exact"/>
        <w:ind w:firstLine="640" w:firstLineChars="200"/>
        <w:rPr>
          <w:szCs w:val="32"/>
          <w:lang w:bidi="ar"/>
        </w:rPr>
      </w:pPr>
      <w:r>
        <w:rPr>
          <w:szCs w:val="32"/>
          <w:lang w:val="zh-CN" w:bidi="ar"/>
        </w:rPr>
        <w:t>根据《四川省自然资源厅国土空间生态修复处关于收集山水林田湖草沙一体化保护和修复工程项目素材的通知》（厅修复函〔</w:t>
      </w:r>
      <w:r>
        <w:rPr>
          <w:szCs w:val="32"/>
          <w:lang w:bidi="ar"/>
        </w:rPr>
        <w:t>2023</w:t>
      </w:r>
      <w:r>
        <w:rPr>
          <w:szCs w:val="32"/>
          <w:lang w:val="zh-CN" w:bidi="ar"/>
        </w:rPr>
        <w:t>〕</w:t>
      </w:r>
      <w:r>
        <w:rPr>
          <w:szCs w:val="32"/>
          <w:lang w:bidi="ar"/>
        </w:rPr>
        <w:t>30号</w:t>
      </w:r>
      <w:r>
        <w:rPr>
          <w:szCs w:val="32"/>
          <w:lang w:val="zh-CN" w:bidi="ar"/>
        </w:rPr>
        <w:t>）和市政府关于《遂宁市自然资源和规划局关于启动遂宁市涪江流域山水林田湖草一体化保护和修复工程实施方案编制工作的请示》的批示，该项目经费从市本级共同专项资金预算的“规划编制专项经费”中解决。</w:t>
      </w:r>
      <w:r>
        <w:rPr>
          <w:szCs w:val="32"/>
          <w:lang w:bidi="ar"/>
        </w:rPr>
        <w:t>8</w:t>
      </w:r>
      <w:r>
        <w:rPr>
          <w:szCs w:val="32"/>
          <w:lang w:val="zh-CN" w:bidi="ar"/>
        </w:rPr>
        <w:t>月该项目经费通过财政评审后确定为</w:t>
      </w:r>
      <w:r>
        <w:rPr>
          <w:szCs w:val="32"/>
          <w:lang w:bidi="ar"/>
        </w:rPr>
        <w:t>50</w:t>
      </w:r>
      <w:r>
        <w:rPr>
          <w:szCs w:val="32"/>
          <w:lang w:val="zh-CN" w:bidi="ar"/>
        </w:rPr>
        <w:t>万元，</w:t>
      </w:r>
      <w:r>
        <w:rPr>
          <w:szCs w:val="32"/>
          <w:lang w:bidi="ar"/>
        </w:rPr>
        <w:t>9</w:t>
      </w:r>
      <w:r>
        <w:rPr>
          <w:szCs w:val="32"/>
          <w:lang w:val="zh-CN" w:bidi="ar"/>
        </w:rPr>
        <w:t>月通过公开招标方式确定中标单位，中标价为</w:t>
      </w:r>
      <w:r>
        <w:rPr>
          <w:szCs w:val="32"/>
          <w:lang w:bidi="ar"/>
        </w:rPr>
        <w:t>47.9</w:t>
      </w:r>
      <w:r>
        <w:rPr>
          <w:szCs w:val="32"/>
          <w:lang w:val="zh-CN" w:bidi="ar"/>
        </w:rPr>
        <w:t>万元。</w:t>
      </w:r>
    </w:p>
    <w:p>
      <w:pPr>
        <w:adjustRightInd w:val="0"/>
        <w:snapToGrid w:val="0"/>
        <w:spacing w:line="560" w:lineRule="exact"/>
        <w:ind w:firstLine="640" w:firstLineChars="200"/>
        <w:rPr>
          <w:bCs/>
          <w:szCs w:val="32"/>
          <w:lang w:val="zh-CN" w:bidi="ar"/>
        </w:rPr>
      </w:pPr>
      <w:r>
        <w:rPr>
          <w:bCs/>
          <w:szCs w:val="32"/>
          <w:lang w:bidi="ar"/>
        </w:rPr>
        <w:t>3.</w:t>
      </w:r>
      <w:r>
        <w:rPr>
          <w:bCs/>
          <w:szCs w:val="32"/>
          <w:lang w:val="zh-CN" w:bidi="ar"/>
        </w:rPr>
        <w:t>资金管理办法</w:t>
      </w:r>
    </w:p>
    <w:p>
      <w:pPr>
        <w:adjustRightInd w:val="0"/>
        <w:snapToGrid w:val="0"/>
        <w:spacing w:line="560" w:lineRule="exact"/>
        <w:ind w:firstLine="640" w:firstLineChars="200"/>
        <w:rPr>
          <w:szCs w:val="32"/>
          <w:lang w:val="zh-CN"/>
        </w:rPr>
      </w:pPr>
      <w:r>
        <w:rPr>
          <w:szCs w:val="32"/>
          <w:lang w:val="zh-CN" w:bidi="ar"/>
        </w:rPr>
        <w:t>资金支出按照合同约定，</w:t>
      </w:r>
      <w:r>
        <w:rPr>
          <w:kern w:val="0"/>
          <w:szCs w:val="32"/>
          <w:shd w:val="clear" w:color="auto" w:fill="FFFFFF"/>
          <w:lang w:val="zh-CN" w:bidi="ar"/>
        </w:rPr>
        <w:t>经我局党委会研究支出，严格执行财政专项资金管理办法及相关政策。</w:t>
      </w:r>
    </w:p>
    <w:p>
      <w:pPr>
        <w:adjustRightInd w:val="0"/>
        <w:snapToGrid w:val="0"/>
        <w:spacing w:line="560" w:lineRule="exact"/>
        <w:ind w:firstLine="640" w:firstLineChars="200"/>
        <w:rPr>
          <w:bCs/>
          <w:szCs w:val="32"/>
          <w:lang w:val="zh-CN" w:bidi="ar"/>
        </w:rPr>
      </w:pPr>
      <w:r>
        <w:rPr>
          <w:bCs/>
          <w:szCs w:val="32"/>
          <w:lang w:bidi="ar"/>
        </w:rPr>
        <w:t>4.</w:t>
      </w:r>
      <w:r>
        <w:rPr>
          <w:bCs/>
          <w:szCs w:val="32"/>
          <w:lang w:val="zh-CN" w:bidi="ar"/>
        </w:rPr>
        <w:t>资金分配原则</w:t>
      </w:r>
    </w:p>
    <w:p>
      <w:pPr>
        <w:adjustRightInd w:val="0"/>
        <w:snapToGrid w:val="0"/>
        <w:spacing w:line="560" w:lineRule="exact"/>
        <w:ind w:firstLine="640" w:firstLineChars="200"/>
        <w:rPr>
          <w:szCs w:val="32"/>
        </w:rPr>
      </w:pPr>
      <w:r>
        <w:rPr>
          <w:szCs w:val="32"/>
          <w:lang w:val="zh-CN"/>
        </w:rPr>
        <w:t>按照合同要求，分</w:t>
      </w:r>
      <w:r>
        <w:rPr>
          <w:szCs w:val="32"/>
        </w:rPr>
        <w:t>两笔支付。</w:t>
      </w:r>
      <w:r>
        <w:rPr>
          <w:szCs w:val="32"/>
          <w:lang w:val="zh-CN"/>
        </w:rPr>
        <w:t>合同签订</w:t>
      </w:r>
      <w:r>
        <w:rPr>
          <w:szCs w:val="32"/>
        </w:rPr>
        <w:t>生效</w:t>
      </w:r>
      <w:r>
        <w:rPr>
          <w:szCs w:val="32"/>
          <w:lang w:val="zh-CN"/>
        </w:rPr>
        <w:t>后1</w:t>
      </w:r>
      <w:r>
        <w:rPr>
          <w:szCs w:val="32"/>
        </w:rPr>
        <w:t>0</w:t>
      </w:r>
      <w:r>
        <w:rPr>
          <w:szCs w:val="32"/>
          <w:lang w:val="zh-CN"/>
        </w:rPr>
        <w:t>日</w:t>
      </w:r>
      <w:r>
        <w:rPr>
          <w:szCs w:val="32"/>
        </w:rPr>
        <w:t>内</w:t>
      </w:r>
      <w:r>
        <w:rPr>
          <w:szCs w:val="32"/>
          <w:lang w:val="zh-CN"/>
        </w:rPr>
        <w:t>，</w:t>
      </w:r>
      <w:r>
        <w:rPr>
          <w:szCs w:val="32"/>
        </w:rPr>
        <w:t>甲方支付乙方</w:t>
      </w:r>
      <w:r>
        <w:rPr>
          <w:szCs w:val="32"/>
          <w:lang w:val="zh-CN"/>
        </w:rPr>
        <w:t>合同总金额的</w:t>
      </w:r>
      <w:r>
        <w:rPr>
          <w:szCs w:val="32"/>
        </w:rPr>
        <w:t>5</w:t>
      </w:r>
      <w:r>
        <w:rPr>
          <w:szCs w:val="32"/>
          <w:lang w:val="zh-CN"/>
        </w:rPr>
        <w:t>0%；项目</w:t>
      </w:r>
      <w:r>
        <w:rPr>
          <w:szCs w:val="32"/>
        </w:rPr>
        <w:t>通过专家评审并提供最终成果后10日内，甲方再支付乙方合同金额的50%。</w:t>
      </w:r>
    </w:p>
    <w:p>
      <w:pPr>
        <w:adjustRightInd w:val="0"/>
        <w:snapToGrid w:val="0"/>
        <w:spacing w:line="560" w:lineRule="exact"/>
        <w:ind w:firstLine="640" w:firstLineChars="200"/>
        <w:rPr>
          <w:rFonts w:eastAsia="楷体_GB2312"/>
          <w:lang w:val="zh-CN"/>
        </w:rPr>
      </w:pPr>
      <w:r>
        <w:rPr>
          <w:rFonts w:eastAsia="楷体_GB2312"/>
          <w:lang w:val="zh-CN"/>
        </w:rPr>
        <w:t>（二）项目绩效目标</w:t>
      </w:r>
    </w:p>
    <w:p>
      <w:pPr>
        <w:adjustRightInd w:val="0"/>
        <w:snapToGrid w:val="0"/>
        <w:spacing w:line="560" w:lineRule="exact"/>
        <w:ind w:firstLine="640" w:firstLineChars="200"/>
      </w:pPr>
      <w:r>
        <w:t>山水林田湖草一体化保护修复工程作为生态文明建设的重要举措，以国土空间生态修复规划构建国土空间生态保护修复格局，以山水工程塑造山水林田岛交织的生态空间，提升生态系统的质量和稳定性，提升统筹山水林田湖草系统治理现代水平，筑牢涪江中下游生态屏障，助推建设长江上游生态高地，共建涪江生态带，形成人与自然和谐共生的优良生态格局。</w:t>
      </w:r>
    </w:p>
    <w:p>
      <w:pPr>
        <w:adjustRightInd w:val="0"/>
        <w:snapToGrid w:val="0"/>
        <w:spacing w:line="560" w:lineRule="exact"/>
        <w:ind w:firstLine="640" w:firstLineChars="200"/>
      </w:pPr>
      <w:r>
        <w:t>山水工程实施方案按照</w:t>
      </w:r>
      <w:r>
        <w:rPr>
          <w:rFonts w:hint="eastAsia" w:ascii="仿宋_GB2312"/>
        </w:rPr>
        <w:t>“保水、护林、整地、治湖、修山”</w:t>
      </w:r>
      <w:r>
        <w:t>统筹工程布局，选取自然恢复、保护保育、辅助修复及生态重建等四种保护修复模式，采用流域水生态保护修复、森林生态保护修复、土地综合整治、湿地生态保护修复及生物多样性保护等保护修复措施，统筹部署17个子项目。山水工程的实施进一步改善区域生态环境，建设高品质宜居区，</w:t>
      </w:r>
      <w:r>
        <w:rPr>
          <w:rFonts w:hint="eastAsia" w:ascii="仿宋_GB2312"/>
        </w:rPr>
        <w:t>打造“天府粮仓”示范，构建“青山、绿水、茂林、良田、明湖”的美丽遂宁。</w:t>
      </w:r>
    </w:p>
    <w:p>
      <w:pPr>
        <w:adjustRightInd w:val="0"/>
        <w:snapToGrid w:val="0"/>
        <w:spacing w:line="560" w:lineRule="exact"/>
        <w:ind w:firstLine="640" w:firstLineChars="200"/>
        <w:rPr>
          <w:szCs w:val="32"/>
          <w:lang w:val="zh-CN"/>
        </w:rPr>
      </w:pPr>
      <w:r>
        <w:rPr>
          <w:szCs w:val="32"/>
          <w:lang w:val="zh-CN"/>
        </w:rPr>
        <w:t>本项目申报符合具体实施内容、项目合理可行。</w:t>
      </w:r>
    </w:p>
    <w:p>
      <w:pPr>
        <w:adjustRightInd w:val="0"/>
        <w:snapToGrid w:val="0"/>
        <w:spacing w:line="560" w:lineRule="exact"/>
        <w:ind w:firstLine="640" w:firstLineChars="200"/>
        <w:rPr>
          <w:rFonts w:eastAsia="楷体_GB2312"/>
          <w:lang w:val="zh-CN"/>
        </w:rPr>
      </w:pPr>
      <w:r>
        <w:rPr>
          <w:rFonts w:eastAsia="楷体_GB2312"/>
          <w:lang w:val="zh-CN"/>
        </w:rPr>
        <w:t>（三）项目自评步骤及方法</w:t>
      </w:r>
    </w:p>
    <w:p>
      <w:pPr>
        <w:adjustRightInd w:val="0"/>
        <w:snapToGrid w:val="0"/>
        <w:spacing w:line="560" w:lineRule="exact"/>
        <w:ind w:firstLine="640" w:firstLineChars="200"/>
        <w:rPr>
          <w:szCs w:val="32"/>
          <w:lang w:val="zh-CN"/>
        </w:rPr>
      </w:pPr>
      <w:r>
        <w:rPr>
          <w:szCs w:val="32"/>
        </w:rPr>
        <w:t>1.</w:t>
      </w:r>
      <w:r>
        <w:rPr>
          <w:szCs w:val="32"/>
          <w:lang w:val="zh-CN"/>
        </w:rPr>
        <w:t>收集项目自启动以来的</w:t>
      </w:r>
      <w:r>
        <w:rPr>
          <w:szCs w:val="32"/>
        </w:rPr>
        <w:t>工程项目</w:t>
      </w:r>
      <w:r>
        <w:rPr>
          <w:szCs w:val="32"/>
          <w:lang w:val="zh-CN"/>
        </w:rPr>
        <w:t>资料。</w:t>
      </w:r>
    </w:p>
    <w:p>
      <w:pPr>
        <w:adjustRightInd w:val="0"/>
        <w:snapToGrid w:val="0"/>
        <w:spacing w:line="560" w:lineRule="exact"/>
        <w:ind w:firstLine="640" w:firstLineChars="200"/>
        <w:rPr>
          <w:szCs w:val="32"/>
          <w:lang w:val="zh-CN"/>
        </w:rPr>
      </w:pPr>
      <w:r>
        <w:rPr>
          <w:szCs w:val="32"/>
        </w:rPr>
        <w:t>2.</w:t>
      </w:r>
      <w:r>
        <w:rPr>
          <w:szCs w:val="32"/>
          <w:lang w:val="zh-CN"/>
        </w:rPr>
        <w:t>召集参与项目编制相关人员，按照项目自评要求逐项分解内容。</w:t>
      </w:r>
    </w:p>
    <w:p>
      <w:pPr>
        <w:adjustRightInd w:val="0"/>
        <w:snapToGrid w:val="0"/>
        <w:spacing w:line="560" w:lineRule="exact"/>
        <w:ind w:firstLine="640" w:firstLineChars="200"/>
        <w:rPr>
          <w:szCs w:val="32"/>
          <w:lang w:val="zh-CN"/>
        </w:rPr>
      </w:pPr>
      <w:r>
        <w:rPr>
          <w:szCs w:val="32"/>
        </w:rPr>
        <w:t>3.</w:t>
      </w:r>
      <w:r>
        <w:rPr>
          <w:szCs w:val="32"/>
          <w:lang w:val="zh-CN"/>
        </w:rPr>
        <w:t>汇总评价成果，集中讨论后编制成稿。</w:t>
      </w:r>
    </w:p>
    <w:p>
      <w:pPr>
        <w:adjustRightInd w:val="0"/>
        <w:snapToGrid w:val="0"/>
        <w:spacing w:line="560" w:lineRule="exact"/>
        <w:ind w:firstLine="640" w:firstLineChars="200"/>
        <w:rPr>
          <w:szCs w:val="32"/>
          <w:lang w:val="zh-CN"/>
        </w:rPr>
      </w:pPr>
      <w:r>
        <w:rPr>
          <w:szCs w:val="32"/>
        </w:rPr>
        <w:t>4.</w:t>
      </w:r>
      <w:r>
        <w:rPr>
          <w:szCs w:val="32"/>
          <w:lang w:val="zh-CN"/>
        </w:rPr>
        <w:t>报分管领导审批后报送，自评得分为</w:t>
      </w:r>
      <w:r>
        <w:rPr>
          <w:szCs w:val="32"/>
          <w:lang w:val="en"/>
        </w:rPr>
        <w:t>93</w:t>
      </w:r>
      <w:r>
        <w:rPr>
          <w:szCs w:val="32"/>
          <w:lang w:val="zh-CN"/>
        </w:rPr>
        <w:t>分。</w:t>
      </w:r>
    </w:p>
    <w:p>
      <w:pPr>
        <w:adjustRightInd w:val="0"/>
        <w:snapToGrid w:val="0"/>
        <w:spacing w:line="560" w:lineRule="exact"/>
        <w:ind w:firstLine="640" w:firstLineChars="200"/>
        <w:rPr>
          <w:rFonts w:eastAsia="黑体"/>
        </w:rPr>
      </w:pPr>
      <w:r>
        <w:rPr>
          <w:rFonts w:eastAsia="黑体"/>
        </w:rPr>
        <w:t>二、项目资金申报及使用情况</w:t>
      </w:r>
    </w:p>
    <w:p>
      <w:pPr>
        <w:adjustRightInd w:val="0"/>
        <w:snapToGrid w:val="0"/>
        <w:spacing w:line="560" w:lineRule="exact"/>
        <w:ind w:firstLine="640" w:firstLineChars="200"/>
        <w:rPr>
          <w:rFonts w:eastAsia="楷体_GB2312"/>
          <w:lang w:val="zh-CN"/>
        </w:rPr>
      </w:pPr>
      <w:r>
        <w:rPr>
          <w:rFonts w:eastAsia="楷体_GB2312"/>
          <w:lang w:val="zh-CN"/>
        </w:rPr>
        <w:t>（一）项目资金申报及批复情况</w:t>
      </w:r>
    </w:p>
    <w:p>
      <w:pPr>
        <w:adjustRightInd w:val="0"/>
        <w:snapToGrid w:val="0"/>
        <w:spacing w:line="560" w:lineRule="exact"/>
        <w:ind w:firstLine="640" w:firstLineChars="200"/>
        <w:rPr>
          <w:szCs w:val="32"/>
        </w:rPr>
      </w:pPr>
      <w:r>
        <w:rPr>
          <w:szCs w:val="32"/>
        </w:rPr>
        <w:t>该项目经费经市财政投资评审中心评审，通过法定招投标程序确定最终项目编制费用为50万元。按照合同约定，2023年10月我局向市财政局申请拨付第一笔款项，拨付总金额为23.95万元。2023年12月，该项目已完成，我局向市财政局申请第二笔款项，拨付总金额为23.95万元。</w:t>
      </w:r>
    </w:p>
    <w:p>
      <w:pPr>
        <w:adjustRightInd w:val="0"/>
        <w:snapToGrid w:val="0"/>
        <w:spacing w:line="560" w:lineRule="exact"/>
        <w:ind w:firstLine="640" w:firstLineChars="200"/>
        <w:rPr>
          <w:lang w:val="zh-CN"/>
        </w:rPr>
      </w:pPr>
      <w:r>
        <w:rPr>
          <w:rFonts w:eastAsia="楷体_GB2312"/>
          <w:lang w:val="zh-CN"/>
        </w:rPr>
        <w:t>（二）资金计划、到位及使用情况</w:t>
      </w:r>
    </w:p>
    <w:p>
      <w:pPr>
        <w:adjustRightInd w:val="0"/>
        <w:snapToGrid w:val="0"/>
        <w:spacing w:line="560" w:lineRule="exact"/>
        <w:ind w:firstLine="640" w:firstLineChars="200"/>
        <w:rPr>
          <w:szCs w:val="32"/>
          <w:lang w:val="zh-CN"/>
        </w:rPr>
      </w:pPr>
      <w:r>
        <w:rPr>
          <w:lang w:val="zh-CN"/>
        </w:rPr>
        <w:t>1.资金计划。</w:t>
      </w:r>
      <w:r>
        <w:rPr>
          <w:bCs/>
          <w:szCs w:val="32"/>
        </w:rPr>
        <w:t>项目</w:t>
      </w:r>
      <w:r>
        <w:rPr>
          <w:szCs w:val="32"/>
        </w:rPr>
        <w:t>资金计划全部用于本项目</w:t>
      </w:r>
      <w:r>
        <w:rPr>
          <w:szCs w:val="32"/>
          <w:lang w:val="zh-CN"/>
        </w:rPr>
        <w:t>。</w:t>
      </w:r>
    </w:p>
    <w:p>
      <w:pPr>
        <w:adjustRightInd w:val="0"/>
        <w:snapToGrid w:val="0"/>
        <w:spacing w:line="560" w:lineRule="exact"/>
        <w:ind w:firstLine="640" w:firstLineChars="200"/>
        <w:rPr>
          <w:szCs w:val="32"/>
          <w:lang w:val="zh-CN"/>
        </w:rPr>
      </w:pPr>
      <w:r>
        <w:rPr>
          <w:lang w:val="zh-CN"/>
        </w:rPr>
        <w:t>2. 资金到位。</w:t>
      </w:r>
      <w:r>
        <w:rPr>
          <w:szCs w:val="32"/>
          <w:lang w:val="zh-CN"/>
        </w:rPr>
        <w:t>资金到位情况与资金计划</w:t>
      </w:r>
      <w:r>
        <w:rPr>
          <w:szCs w:val="32"/>
        </w:rPr>
        <w:t>相符</w:t>
      </w:r>
      <w:r>
        <w:rPr>
          <w:szCs w:val="32"/>
          <w:lang w:val="zh-CN"/>
        </w:rPr>
        <w:t>，资金到位及时。</w:t>
      </w:r>
    </w:p>
    <w:p>
      <w:pPr>
        <w:adjustRightInd w:val="0"/>
        <w:snapToGrid w:val="0"/>
        <w:spacing w:line="560" w:lineRule="exact"/>
        <w:ind w:firstLine="640" w:firstLineChars="200"/>
        <w:rPr>
          <w:szCs w:val="32"/>
          <w:lang w:val="zh-CN"/>
        </w:rPr>
      </w:pPr>
      <w:r>
        <w:rPr>
          <w:lang w:val="zh-CN"/>
        </w:rPr>
        <w:t>3.资金使用。</w:t>
      </w:r>
      <w:r>
        <w:rPr>
          <w:szCs w:val="32"/>
          <w:lang w:val="zh-CN"/>
        </w:rPr>
        <w:t>经过招标，中标金额为</w:t>
      </w:r>
      <w:r>
        <w:rPr>
          <w:szCs w:val="32"/>
        </w:rPr>
        <w:t>47.9</w:t>
      </w:r>
      <w:r>
        <w:rPr>
          <w:szCs w:val="32"/>
          <w:lang w:val="zh-CN"/>
        </w:rPr>
        <w:t>万元。资金按合同约定、项目进度拨付。202</w:t>
      </w:r>
      <w:r>
        <w:rPr>
          <w:szCs w:val="32"/>
        </w:rPr>
        <w:t>3</w:t>
      </w:r>
      <w:r>
        <w:rPr>
          <w:szCs w:val="32"/>
          <w:lang w:val="zh-CN"/>
        </w:rPr>
        <w:t>年共拨付项目资金</w:t>
      </w:r>
      <w:r>
        <w:rPr>
          <w:szCs w:val="32"/>
        </w:rPr>
        <w:t>47.9</w:t>
      </w:r>
      <w:r>
        <w:rPr>
          <w:szCs w:val="32"/>
          <w:lang w:val="zh-CN"/>
        </w:rPr>
        <w:t>万元。款项全部用于开展</w:t>
      </w:r>
      <w:r>
        <w:rPr>
          <w:rFonts w:hint="eastAsia" w:ascii="仿宋_GB2312"/>
          <w:szCs w:val="32"/>
          <w:lang w:val="zh-CN"/>
        </w:rPr>
        <w:t>“</w:t>
      </w:r>
      <w:r>
        <w:rPr>
          <w:rFonts w:hint="eastAsia" w:ascii="仿宋_GB2312"/>
          <w:szCs w:val="32"/>
        </w:rPr>
        <w:t>山水工程实施方案</w:t>
      </w:r>
      <w:r>
        <w:rPr>
          <w:rFonts w:hint="eastAsia" w:ascii="仿宋_GB2312"/>
          <w:szCs w:val="32"/>
          <w:lang w:val="zh-CN"/>
        </w:rPr>
        <w:t>编制”</w:t>
      </w:r>
      <w:r>
        <w:rPr>
          <w:szCs w:val="32"/>
          <w:lang w:val="zh-CN"/>
        </w:rPr>
        <w:t>项目。支付依据合规合法，资金支付与预算相符。</w:t>
      </w:r>
    </w:p>
    <w:p>
      <w:pPr>
        <w:adjustRightInd w:val="0"/>
        <w:snapToGrid w:val="0"/>
        <w:spacing w:line="560" w:lineRule="exact"/>
        <w:ind w:firstLine="640" w:firstLineChars="200"/>
        <w:rPr>
          <w:rFonts w:eastAsia="楷体_GB2312"/>
          <w:lang w:val="zh-CN"/>
        </w:rPr>
      </w:pPr>
      <w:r>
        <w:rPr>
          <w:rFonts w:eastAsia="楷体_GB2312"/>
          <w:lang w:val="zh-CN"/>
        </w:rPr>
        <w:t>（三）项目财务管理情况</w:t>
      </w:r>
    </w:p>
    <w:p>
      <w:pPr>
        <w:spacing w:line="560" w:lineRule="exact"/>
        <w:ind w:firstLine="640" w:firstLineChars="200"/>
        <w:rPr>
          <w:kern w:val="0"/>
          <w:szCs w:val="32"/>
          <w:shd w:val="clear" w:color="auto" w:fill="FFFFFF"/>
          <w:lang w:val="zh-CN"/>
        </w:rPr>
      </w:pPr>
      <w:r>
        <w:rPr>
          <w:color w:val="000000"/>
          <w:szCs w:val="32"/>
        </w:rPr>
        <w:t>我局财务管理制度健全，</w:t>
      </w:r>
      <w:r>
        <w:rPr>
          <w:kern w:val="0"/>
          <w:szCs w:val="32"/>
          <w:shd w:val="clear" w:color="auto" w:fill="FFFFFF"/>
          <w:lang w:val="zh-CN"/>
        </w:rPr>
        <w:t>严格执行财政专项资金管理办法及相关政策</w:t>
      </w:r>
      <w:r>
        <w:rPr>
          <w:color w:val="000000"/>
          <w:szCs w:val="32"/>
        </w:rPr>
        <w:t>，</w:t>
      </w:r>
      <w:r>
        <w:rPr>
          <w:kern w:val="0"/>
          <w:szCs w:val="32"/>
          <w:shd w:val="clear" w:color="auto" w:fill="FFFFFF"/>
          <w:lang w:val="zh-CN"/>
        </w:rPr>
        <w:t>支付较为及时，会计核算规范。</w:t>
      </w:r>
    </w:p>
    <w:p>
      <w:pPr>
        <w:adjustRightInd w:val="0"/>
        <w:snapToGrid w:val="0"/>
        <w:spacing w:line="560" w:lineRule="exact"/>
        <w:ind w:firstLine="640" w:firstLineChars="200"/>
        <w:rPr>
          <w:rFonts w:eastAsia="黑体"/>
        </w:rPr>
      </w:pPr>
      <w:r>
        <w:rPr>
          <w:rFonts w:eastAsia="黑体"/>
        </w:rPr>
        <w:t>三、项目实施及管理情况</w:t>
      </w:r>
    </w:p>
    <w:p>
      <w:pPr>
        <w:adjustRightInd w:val="0"/>
        <w:snapToGrid w:val="0"/>
        <w:spacing w:line="560" w:lineRule="exact"/>
        <w:ind w:firstLine="640" w:firstLineChars="200"/>
        <w:rPr>
          <w:lang w:val="zh-CN"/>
        </w:rPr>
      </w:pPr>
      <w:r>
        <w:rPr>
          <w:lang w:val="zh-CN"/>
        </w:rPr>
        <w:t>结合项目组织实施管理办法，重点围绕以下内容进行分析评价，并对自评中发现的问题分析说明。</w:t>
      </w:r>
    </w:p>
    <w:p>
      <w:pPr>
        <w:adjustRightInd w:val="0"/>
        <w:snapToGrid w:val="0"/>
        <w:spacing w:line="560" w:lineRule="exact"/>
        <w:ind w:firstLine="640" w:firstLineChars="200"/>
        <w:rPr>
          <w:rFonts w:eastAsia="楷体_GB2312"/>
          <w:lang w:val="zh-CN"/>
        </w:rPr>
      </w:pPr>
      <w:r>
        <w:rPr>
          <w:rFonts w:eastAsia="楷体_GB2312"/>
          <w:lang w:val="zh-CN"/>
        </w:rPr>
        <w:t>（一）项目组织架构及实施流程</w:t>
      </w:r>
    </w:p>
    <w:p>
      <w:pPr>
        <w:adjustRightInd w:val="0"/>
        <w:snapToGrid w:val="0"/>
        <w:spacing w:line="560" w:lineRule="exact"/>
        <w:ind w:firstLine="640" w:firstLineChars="200"/>
        <w:rPr>
          <w:szCs w:val="32"/>
          <w:lang w:val="zh-CN"/>
        </w:rPr>
      </w:pPr>
      <w:r>
        <w:rPr>
          <w:szCs w:val="32"/>
          <w:lang w:val="zh-CN"/>
        </w:rPr>
        <w:t>为了</w:t>
      </w:r>
      <w:r>
        <w:rPr>
          <w:szCs w:val="32"/>
        </w:rPr>
        <w:t>顺利</w:t>
      </w:r>
      <w:r>
        <w:rPr>
          <w:szCs w:val="32"/>
          <w:lang w:val="zh-CN"/>
        </w:rPr>
        <w:t>开展本项目相关工作，我局由</w:t>
      </w:r>
      <w:r>
        <w:rPr>
          <w:szCs w:val="32"/>
        </w:rPr>
        <w:t>生态修复</w:t>
      </w:r>
      <w:r>
        <w:rPr>
          <w:szCs w:val="32"/>
          <w:lang w:val="zh-CN"/>
        </w:rPr>
        <w:t>科具体负责项目的组织、协调、实施、督导、验收等日常工作，同时负责本项目的技术指导。</w:t>
      </w:r>
    </w:p>
    <w:p>
      <w:pPr>
        <w:adjustRightInd w:val="0"/>
        <w:snapToGrid w:val="0"/>
        <w:spacing w:line="560" w:lineRule="exact"/>
        <w:ind w:firstLine="640" w:firstLineChars="200"/>
        <w:rPr>
          <w:szCs w:val="32"/>
        </w:rPr>
      </w:pPr>
      <w:r>
        <w:rPr>
          <w:szCs w:val="32"/>
        </w:rPr>
        <w:t>本项目总体技术路线按照资料收集、现场调研、数据分析、综合研究、方案编制、项目验收等步骤实施。</w:t>
      </w:r>
    </w:p>
    <w:p>
      <w:pPr>
        <w:adjustRightInd w:val="0"/>
        <w:snapToGrid w:val="0"/>
        <w:spacing w:line="560" w:lineRule="exact"/>
        <w:ind w:firstLine="640" w:firstLineChars="200"/>
        <w:rPr>
          <w:szCs w:val="32"/>
        </w:rPr>
      </w:pPr>
      <w:r>
        <w:rPr>
          <w:szCs w:val="32"/>
        </w:rPr>
        <w:t>项目完成后，由我局生态修复科负责组织对本项目的成果验收工作。</w:t>
      </w:r>
    </w:p>
    <w:p>
      <w:pPr>
        <w:adjustRightInd w:val="0"/>
        <w:snapToGrid w:val="0"/>
        <w:spacing w:line="560" w:lineRule="exact"/>
        <w:ind w:firstLine="640" w:firstLineChars="200"/>
        <w:rPr>
          <w:rFonts w:eastAsia="楷体_GB2312"/>
          <w:lang w:val="zh-CN"/>
        </w:rPr>
      </w:pPr>
      <w:r>
        <w:rPr>
          <w:rFonts w:eastAsia="楷体_GB2312"/>
          <w:lang w:val="zh-CN"/>
        </w:rPr>
        <w:t>（二）项目管理情况</w:t>
      </w:r>
    </w:p>
    <w:p>
      <w:pPr>
        <w:adjustRightInd w:val="0"/>
        <w:snapToGrid w:val="0"/>
        <w:spacing w:line="560" w:lineRule="exact"/>
        <w:ind w:firstLine="640" w:firstLineChars="200"/>
        <w:rPr>
          <w:szCs w:val="32"/>
          <w:lang w:val="zh-CN"/>
        </w:rPr>
      </w:pPr>
      <w:r>
        <w:rPr>
          <w:szCs w:val="32"/>
          <w:lang w:val="zh-CN"/>
        </w:rPr>
        <w:t>项目资金管理办法健全完善，大额资金支出均列为</w:t>
      </w:r>
      <w:r>
        <w:rPr>
          <w:rFonts w:hint="eastAsia" w:ascii="仿宋_GB2312"/>
          <w:szCs w:val="32"/>
          <w:lang w:val="zh-CN"/>
        </w:rPr>
        <w:t>“三重一大”的</w:t>
      </w:r>
      <w:r>
        <w:rPr>
          <w:szCs w:val="32"/>
          <w:lang w:val="zh-CN"/>
        </w:rPr>
        <w:t>议题，通过局党组会研究支出，严格按照财政专项资金的管理办法进行财务管理，并严格执行相关政策。项目设立依据充分，符合市委、市政府重大决策部署和宏观政策规划。项目的资金分配与规划计划一致。</w:t>
      </w:r>
    </w:p>
    <w:p>
      <w:pPr>
        <w:adjustRightInd w:val="0"/>
        <w:snapToGrid w:val="0"/>
        <w:spacing w:line="560" w:lineRule="exact"/>
        <w:ind w:firstLine="640" w:firstLineChars="200"/>
        <w:rPr>
          <w:szCs w:val="32"/>
          <w:lang w:val="zh-CN"/>
        </w:rPr>
      </w:pPr>
      <w:r>
        <w:rPr>
          <w:szCs w:val="32"/>
        </w:rPr>
        <w:t>本</w:t>
      </w:r>
      <w:r>
        <w:rPr>
          <w:szCs w:val="32"/>
          <w:lang w:val="zh-CN"/>
        </w:rPr>
        <w:t>项目经市自然资源和规划局党组会研究审议，于202</w:t>
      </w:r>
      <w:r>
        <w:rPr>
          <w:rFonts w:hint="eastAsia"/>
          <w:szCs w:val="32"/>
          <w:lang w:val="en-US" w:eastAsia="zh-CN"/>
        </w:rPr>
        <w:t>3</w:t>
      </w:r>
      <w:bookmarkStart w:id="0" w:name="_GoBack"/>
      <w:bookmarkEnd w:id="0"/>
      <w:r>
        <w:rPr>
          <w:szCs w:val="32"/>
          <w:lang w:val="zh-CN"/>
        </w:rPr>
        <w:t>年</w:t>
      </w:r>
      <w:r>
        <w:rPr>
          <w:szCs w:val="32"/>
        </w:rPr>
        <w:t>9</w:t>
      </w:r>
      <w:r>
        <w:rPr>
          <w:szCs w:val="32"/>
          <w:lang w:val="zh-CN"/>
        </w:rPr>
        <w:t>月通过竞争性磋商确定了中标单位。正式启动项目后，我局</w:t>
      </w:r>
      <w:r>
        <w:rPr>
          <w:kern w:val="0"/>
          <w:szCs w:val="32"/>
        </w:rPr>
        <w:t>组织</w:t>
      </w:r>
      <w:r>
        <w:rPr>
          <w:szCs w:val="32"/>
          <w:lang w:val="zh-CN"/>
        </w:rPr>
        <w:t>作业单位</w:t>
      </w:r>
      <w:r>
        <w:rPr>
          <w:kern w:val="0"/>
          <w:szCs w:val="32"/>
        </w:rPr>
        <w:t>开展资料收集、现场调研、综合研究、方案编制、成果验收等工作</w:t>
      </w:r>
      <w:r>
        <w:rPr>
          <w:szCs w:val="32"/>
          <w:lang w:val="zh-CN"/>
        </w:rPr>
        <w:t>。</w:t>
      </w:r>
    </w:p>
    <w:p>
      <w:pPr>
        <w:adjustRightInd w:val="0"/>
        <w:snapToGrid w:val="0"/>
        <w:spacing w:line="560" w:lineRule="exact"/>
        <w:ind w:firstLine="640" w:firstLineChars="200"/>
        <w:rPr>
          <w:rFonts w:eastAsia="楷体_GB2312"/>
          <w:lang w:val="zh-CN"/>
        </w:rPr>
      </w:pPr>
      <w:r>
        <w:rPr>
          <w:rFonts w:eastAsia="楷体_GB2312"/>
          <w:lang w:val="zh-CN"/>
        </w:rPr>
        <w:t>（三）项目监管情况</w:t>
      </w:r>
    </w:p>
    <w:p>
      <w:pPr>
        <w:adjustRightInd w:val="0"/>
        <w:snapToGrid w:val="0"/>
        <w:spacing w:line="560" w:lineRule="exact"/>
        <w:ind w:firstLine="640" w:firstLineChars="200"/>
        <w:rPr>
          <w:szCs w:val="32"/>
        </w:rPr>
      </w:pPr>
      <w:r>
        <w:rPr>
          <w:szCs w:val="32"/>
        </w:rPr>
        <w:t>为保障项目成果质量，</w:t>
      </w:r>
      <w:r>
        <w:rPr>
          <w:szCs w:val="32"/>
          <w:lang w:val="zh-CN"/>
        </w:rPr>
        <w:t>我</w:t>
      </w:r>
      <w:r>
        <w:rPr>
          <w:szCs w:val="32"/>
        </w:rPr>
        <w:t>局组织林业、农业、水利等领域专家于2023年11月20日对《遂宁市涪江流域山水林田湖草一体化保护和修复工程实施方案》进行了评审验收，《实施方案》基本合理可行，符合编制要求。</w:t>
      </w:r>
    </w:p>
    <w:p>
      <w:pPr>
        <w:adjustRightInd w:val="0"/>
        <w:snapToGrid w:val="0"/>
        <w:spacing w:line="560" w:lineRule="exact"/>
        <w:ind w:firstLine="640" w:firstLineChars="200"/>
        <w:rPr>
          <w:lang w:val="zh-CN"/>
        </w:rPr>
      </w:pPr>
      <w:r>
        <w:rPr>
          <w:rFonts w:eastAsia="黑体"/>
        </w:rPr>
        <w:t>四、项目绩效情况</w:t>
      </w:r>
      <w:r>
        <w:rPr>
          <w:lang w:val="zh-CN"/>
        </w:rPr>
        <w:tab/>
      </w:r>
    </w:p>
    <w:p>
      <w:pPr>
        <w:adjustRightInd w:val="0"/>
        <w:snapToGrid w:val="0"/>
        <w:spacing w:line="560" w:lineRule="exact"/>
        <w:ind w:firstLine="640" w:firstLineChars="200"/>
        <w:rPr>
          <w:rFonts w:eastAsia="楷体_GB2312"/>
          <w:lang w:val="zh-CN"/>
        </w:rPr>
      </w:pPr>
      <w:r>
        <w:rPr>
          <w:rFonts w:eastAsia="楷体_GB2312"/>
          <w:lang w:val="zh-CN"/>
        </w:rPr>
        <w:t>（一）项目完成情况</w:t>
      </w:r>
    </w:p>
    <w:p>
      <w:pPr>
        <w:adjustRightInd w:val="0"/>
        <w:snapToGrid w:val="0"/>
        <w:spacing w:line="560" w:lineRule="exact"/>
        <w:ind w:firstLine="640" w:firstLineChars="200"/>
      </w:pPr>
      <w:r>
        <w:t>按照合同约定成果内容，编制完成了遂宁市涪江流域山水林田湖草一体化保护和修复工程实施方案、遂宁市涪江流域山水林田湖草一体化图集，共部署了17个子项目，工程总投资12.35亿元。</w:t>
      </w:r>
    </w:p>
    <w:p>
      <w:pPr>
        <w:adjustRightInd w:val="0"/>
        <w:snapToGrid w:val="0"/>
        <w:spacing w:line="560" w:lineRule="exact"/>
        <w:ind w:firstLine="640" w:firstLineChars="200"/>
        <w:rPr>
          <w:rFonts w:eastAsia="楷体_GB2312"/>
          <w:lang w:val="zh-CN"/>
        </w:rPr>
      </w:pPr>
      <w:r>
        <w:rPr>
          <w:rFonts w:eastAsia="楷体_GB2312"/>
          <w:lang w:val="zh-CN"/>
        </w:rPr>
        <w:t>（二）项目效益情况</w:t>
      </w:r>
    </w:p>
    <w:p>
      <w:pPr>
        <w:adjustRightInd w:val="0"/>
        <w:snapToGrid w:val="0"/>
        <w:spacing w:line="560" w:lineRule="exact"/>
        <w:ind w:firstLine="640" w:firstLineChars="200"/>
      </w:pPr>
      <w:r>
        <w:t>山水工程的实施可进一步改善区域生态环境，建设高品质宜居区，打造</w:t>
      </w:r>
      <w:r>
        <w:rPr>
          <w:rFonts w:hint="eastAsia" w:ascii="仿宋_GB2312"/>
        </w:rPr>
        <w:t>“天府粮仓”示范，构建“青山、绿水、茂林、良田、明湖”的</w:t>
      </w:r>
      <w:r>
        <w:t>美丽遂宁，优化国土空间生态修复格局，进一步筑牢长江上游生态屏障，为建设联动成渝的重要门户枢纽和成渝主轴绿色经济强市奠定坚实基础。</w:t>
      </w:r>
    </w:p>
    <w:p>
      <w:pPr>
        <w:adjustRightInd w:val="0"/>
        <w:snapToGrid w:val="0"/>
        <w:spacing w:line="560" w:lineRule="exact"/>
        <w:ind w:firstLine="640" w:firstLineChars="200"/>
        <w:rPr>
          <w:rFonts w:eastAsia="黑体"/>
        </w:rPr>
      </w:pPr>
      <w:r>
        <w:rPr>
          <w:rFonts w:eastAsia="黑体"/>
        </w:rPr>
        <w:t>五、评价结论及建议</w:t>
      </w:r>
    </w:p>
    <w:p>
      <w:pPr>
        <w:adjustRightInd w:val="0"/>
        <w:snapToGrid w:val="0"/>
        <w:spacing w:line="560" w:lineRule="exact"/>
        <w:ind w:firstLine="640" w:firstLineChars="200"/>
        <w:rPr>
          <w:rFonts w:eastAsia="楷体_GB2312"/>
          <w:lang w:val="zh-CN"/>
        </w:rPr>
      </w:pPr>
      <w:r>
        <w:rPr>
          <w:rFonts w:eastAsia="楷体_GB2312"/>
          <w:lang w:val="zh-CN"/>
        </w:rPr>
        <w:t>（一）评价结论</w:t>
      </w:r>
    </w:p>
    <w:p>
      <w:pPr>
        <w:adjustRightInd w:val="0"/>
        <w:snapToGrid w:val="0"/>
        <w:spacing w:line="560" w:lineRule="exact"/>
        <w:ind w:firstLine="640" w:firstLineChars="200"/>
        <w:rPr>
          <w:szCs w:val="32"/>
        </w:rPr>
      </w:pPr>
      <w:r>
        <w:rPr>
          <w:szCs w:val="32"/>
        </w:rPr>
        <w:t>按照2024年项目支出绩效评价指标体系进行评价，自评总得分100分。项目设立经过严格评估论证，设立依据充分，符合市委、市政府重大决策部署和宏观政策规划。项目的资金分配与规划计划基本一致。资金使用符合相关的财务管理制度规定。项目实施后基本完成预期目标。</w:t>
      </w:r>
    </w:p>
    <w:p>
      <w:pPr>
        <w:adjustRightInd w:val="0"/>
        <w:snapToGrid w:val="0"/>
        <w:spacing w:line="560" w:lineRule="exact"/>
        <w:ind w:firstLine="640" w:firstLineChars="200"/>
        <w:rPr>
          <w:rFonts w:eastAsia="楷体_GB2312"/>
          <w:lang w:val="zh-CN"/>
        </w:rPr>
      </w:pPr>
      <w:r>
        <w:rPr>
          <w:rFonts w:eastAsia="楷体_GB2312"/>
          <w:lang w:val="zh-CN"/>
        </w:rPr>
        <w:t>（二）存在的问题</w:t>
      </w:r>
    </w:p>
    <w:p>
      <w:pPr>
        <w:adjustRightInd w:val="0"/>
        <w:snapToGrid w:val="0"/>
        <w:spacing w:line="560" w:lineRule="exact"/>
        <w:ind w:firstLine="640" w:firstLineChars="200"/>
        <w:rPr>
          <w:szCs w:val="32"/>
        </w:rPr>
      </w:pPr>
      <w:r>
        <w:rPr>
          <w:szCs w:val="32"/>
        </w:rPr>
        <w:t>由于本项目实施除各相关应用单位外，还面向社会大众，在需求调研的过程中未充分考虑到普通百姓对生态修复的需求，生态修复的实施还有可拓展的空间</w:t>
      </w:r>
      <w:r>
        <w:rPr>
          <w:szCs w:val="32"/>
          <w:lang w:val="zh-CN"/>
        </w:rPr>
        <w:t>。</w:t>
      </w:r>
    </w:p>
    <w:p>
      <w:pPr>
        <w:adjustRightInd w:val="0"/>
        <w:snapToGrid w:val="0"/>
        <w:spacing w:line="560" w:lineRule="exact"/>
        <w:ind w:firstLine="640" w:firstLineChars="200"/>
        <w:rPr>
          <w:rFonts w:eastAsia="楷体_GB2312"/>
          <w:lang w:val="zh-CN"/>
        </w:rPr>
      </w:pPr>
      <w:r>
        <w:rPr>
          <w:rFonts w:eastAsia="楷体_GB2312"/>
          <w:lang w:val="zh-CN"/>
        </w:rPr>
        <w:t>（三）相关建议</w:t>
      </w:r>
    </w:p>
    <w:p>
      <w:pPr>
        <w:adjustRightInd w:val="0"/>
        <w:snapToGrid w:val="0"/>
        <w:spacing w:line="560" w:lineRule="exact"/>
        <w:ind w:firstLine="640" w:firstLineChars="200"/>
        <w:rPr>
          <w:szCs w:val="32"/>
        </w:rPr>
      </w:pPr>
      <w:r>
        <w:rPr>
          <w:szCs w:val="32"/>
        </w:rPr>
        <w:t>在后期开展的生态修复工程子项目中，可适度收集和考虑普通百姓对于生态修复的需求，同时加强项目成果的推广及应用工作。</w:t>
      </w:r>
    </w:p>
    <w:p>
      <w:pPr>
        <w:adjustRightInd w:val="0"/>
        <w:snapToGrid w:val="0"/>
        <w:spacing w:line="560" w:lineRule="exact"/>
        <w:ind w:firstLine="640" w:firstLineChars="200"/>
        <w:rPr>
          <w:rFonts w:eastAsia="黑体"/>
        </w:rPr>
      </w:pPr>
    </w:p>
    <w:p>
      <w:pPr>
        <w:adjustRightInd w:val="0"/>
        <w:snapToGrid w:val="0"/>
        <w:spacing w:line="560" w:lineRule="exact"/>
        <w:ind w:firstLine="640" w:firstLineChars="200"/>
        <w:rPr>
          <w:lang w:val="zh-CN"/>
        </w:rPr>
      </w:pPr>
      <w:r>
        <w:rPr>
          <w:lang w:val="zh-CN"/>
        </w:rPr>
        <w:t>附件：2024年市级专项预算项目支出绩效评价指标体系（遂</w:t>
      </w:r>
    </w:p>
    <w:p>
      <w:pPr>
        <w:adjustRightInd w:val="0"/>
        <w:snapToGrid w:val="0"/>
        <w:spacing w:line="560" w:lineRule="exact"/>
        <w:ind w:firstLine="1440" w:firstLineChars="450"/>
        <w:rPr>
          <w:lang w:val="zh-CN"/>
        </w:rPr>
      </w:pPr>
      <w:r>
        <w:rPr>
          <w:lang w:val="zh-CN"/>
        </w:rPr>
        <w:t>宁市涪江流域山水林田湖草一体化保护和修复工程实</w:t>
      </w:r>
    </w:p>
    <w:p>
      <w:pPr>
        <w:adjustRightInd w:val="0"/>
        <w:snapToGrid w:val="0"/>
        <w:spacing w:line="560" w:lineRule="exact"/>
        <w:ind w:firstLine="1440" w:firstLineChars="450"/>
        <w:rPr>
          <w:lang w:val="zh-CN"/>
        </w:rPr>
      </w:pPr>
      <w:r>
        <w:rPr>
          <w:lang w:val="zh-CN"/>
        </w:rPr>
        <w:t>施方案）</w:t>
      </w:r>
    </w:p>
    <w:p>
      <w:pPr>
        <w:adjustRightInd w:val="0"/>
        <w:snapToGrid w:val="0"/>
        <w:spacing w:line="560" w:lineRule="exact"/>
        <w:ind w:firstLine="640" w:firstLineChars="200"/>
        <w:rPr>
          <w:lang w:val="zh-CN"/>
        </w:rPr>
      </w:pPr>
    </w:p>
    <w:p>
      <w:pPr>
        <w:adjustRightInd w:val="0"/>
        <w:snapToGrid w:val="0"/>
        <w:spacing w:line="560" w:lineRule="exact"/>
        <w:ind w:firstLine="640" w:firstLineChars="200"/>
        <w:rPr>
          <w:lang w:val="zh-CN"/>
        </w:rPr>
      </w:pPr>
    </w:p>
    <w:p>
      <w:pPr>
        <w:adjustRightInd w:val="0"/>
        <w:snapToGrid w:val="0"/>
        <w:spacing w:line="560" w:lineRule="exact"/>
        <w:ind w:firstLine="640" w:firstLineChars="200"/>
        <w:rPr>
          <w:lang w:val="zh-CN"/>
        </w:rPr>
      </w:pPr>
    </w:p>
    <w:p>
      <w:pPr>
        <w:adjustRightInd w:val="0"/>
        <w:snapToGrid w:val="0"/>
        <w:spacing w:line="560" w:lineRule="exact"/>
        <w:ind w:firstLine="640" w:firstLineChars="200"/>
        <w:jc w:val="center"/>
        <w:rPr>
          <w:szCs w:val="32"/>
        </w:rPr>
      </w:pPr>
      <w:r>
        <w:rPr>
          <w:szCs w:val="32"/>
        </w:rPr>
        <w:t xml:space="preserve">               遂宁市自然资源和规划局</w:t>
      </w:r>
    </w:p>
    <w:p>
      <w:pPr>
        <w:adjustRightInd w:val="0"/>
        <w:snapToGrid w:val="0"/>
        <w:spacing w:line="560" w:lineRule="exact"/>
        <w:ind w:firstLine="640" w:firstLineChars="200"/>
        <w:jc w:val="center"/>
        <w:rPr>
          <w:szCs w:val="32"/>
        </w:rPr>
      </w:pPr>
      <w:r>
        <w:rPr>
          <w:szCs w:val="32"/>
        </w:rPr>
        <w:t xml:space="preserve">                2024年3月25日</w:t>
      </w:r>
    </w:p>
    <w:p>
      <w:pPr>
        <w:spacing w:line="560" w:lineRule="exact"/>
      </w:pPr>
    </w:p>
    <w:sectPr>
      <w:footerReference r:id="rId3" w:type="default"/>
      <w:footerReference r:id="rId4" w:type="even"/>
      <w:pgSz w:w="11906" w:h="16838"/>
      <w:pgMar w:top="1985" w:right="1361" w:bottom="1361" w:left="1701" w:header="851" w:footer="992" w:gutter="0"/>
      <w:pgNumType w:fmt="numberInDash"/>
      <w:cols w:space="425"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微软雅黑"/>
    <w:panose1 w:val="00000000000000000000"/>
    <w:charset w:val="00"/>
    <w:family w:val="roman"/>
    <w:pitch w:val="default"/>
    <w:sig w:usb0="00000000" w:usb1="00000000" w:usb2="00000000"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3532432"/>
      <w:docPartObj>
        <w:docPartGallery w:val="autotext"/>
      </w:docPartObj>
    </w:sdtPr>
    <w:sdtEndPr>
      <w:rPr>
        <w:sz w:val="28"/>
        <w:szCs w:val="28"/>
      </w:rPr>
    </w:sdtEndPr>
    <w:sdtContent>
      <w:p>
        <w:pPr>
          <w:pStyle w:val="3"/>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5 -</w:t>
        </w:r>
        <w:r>
          <w:rPr>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6450765"/>
      <w:docPartObj>
        <w:docPartGallery w:val="autotext"/>
      </w:docPartObj>
    </w:sdtPr>
    <w:sdtEndPr>
      <w:rPr>
        <w:sz w:val="28"/>
        <w:szCs w:val="28"/>
      </w:rPr>
    </w:sdtEndPr>
    <w:sdtContent>
      <w:p>
        <w:pPr>
          <w:pStyle w:val="3"/>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6 -</w:t>
        </w:r>
        <w:r>
          <w:rPr>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ZmRiYzQ3MGViN2Q5YWUzYTMzM2YxZWUwM2M1NzEifQ=="/>
  </w:docVars>
  <w:rsids>
    <w:rsidRoot w:val="00291533"/>
    <w:rsid w:val="000734D3"/>
    <w:rsid w:val="00080769"/>
    <w:rsid w:val="00084E7A"/>
    <w:rsid w:val="001C2DD5"/>
    <w:rsid w:val="00203598"/>
    <w:rsid w:val="00205CF2"/>
    <w:rsid w:val="00291533"/>
    <w:rsid w:val="00334E48"/>
    <w:rsid w:val="003E4A0D"/>
    <w:rsid w:val="003F47F4"/>
    <w:rsid w:val="005A369C"/>
    <w:rsid w:val="00722855"/>
    <w:rsid w:val="00921DB8"/>
    <w:rsid w:val="00B81C8B"/>
    <w:rsid w:val="00CC4E6C"/>
    <w:rsid w:val="0E097B78"/>
    <w:rsid w:val="142B6A9A"/>
    <w:rsid w:val="14E31122"/>
    <w:rsid w:val="1CB6711D"/>
    <w:rsid w:val="27F7299E"/>
    <w:rsid w:val="2DC77566"/>
    <w:rsid w:val="2DF6381D"/>
    <w:rsid w:val="2F5C1DA5"/>
    <w:rsid w:val="388C7258"/>
    <w:rsid w:val="460C19D8"/>
    <w:rsid w:val="4F1B72FF"/>
    <w:rsid w:val="53C102A5"/>
    <w:rsid w:val="55F52488"/>
    <w:rsid w:val="56010E2D"/>
    <w:rsid w:val="589D0BB5"/>
    <w:rsid w:val="5E302094"/>
    <w:rsid w:val="644B5969"/>
    <w:rsid w:val="6BC962BE"/>
    <w:rsid w:val="6E62222D"/>
    <w:rsid w:val="6ED0363B"/>
    <w:rsid w:val="72395053"/>
    <w:rsid w:val="75F47C0F"/>
    <w:rsid w:val="79646E59"/>
    <w:rsid w:val="7BD74BD5"/>
    <w:rsid w:val="7BEBA439"/>
    <w:rsid w:val="AFF5614B"/>
    <w:rsid w:val="DD7EAE5E"/>
    <w:rsid w:val="FE5FE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99"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index 5"/>
    <w:basedOn w:val="1"/>
    <w:next w:val="1"/>
    <w:qFormat/>
    <w:uiPriority w:val="99"/>
    <w:pPr>
      <w:ind w:left="1680"/>
    </w:pPr>
    <w:rPr>
      <w:rFonts w:ascii="Calibri" w:hAnsi="Calibri" w:eastAsia="宋体"/>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able of figures"/>
    <w:basedOn w:val="1"/>
    <w:next w:val="1"/>
    <w:semiHidden/>
    <w:unhideWhenUsed/>
    <w:qFormat/>
    <w:uiPriority w:val="99"/>
    <w:pPr>
      <w:ind w:left="200" w:leftChars="200" w:hanging="200" w:hangingChars="200"/>
    </w:p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4"/>
    <w:qFormat/>
    <w:uiPriority w:val="99"/>
    <w:rPr>
      <w:rFonts w:ascii="Times New Roman" w:hAnsi="Times New Roman" w:eastAsia="仿宋_GB2312" w:cs="Times New Roman"/>
      <w:sz w:val="18"/>
      <w:szCs w:val="18"/>
    </w:rPr>
  </w:style>
  <w:style w:type="character" w:customStyle="1" w:styleId="10">
    <w:name w:val="页脚 Char"/>
    <w:basedOn w:val="7"/>
    <w:link w:val="3"/>
    <w:qFormat/>
    <w:uiPriority w:val="99"/>
    <w:rPr>
      <w:rFonts w:ascii="Times New Roman" w:hAnsi="Times New Roman" w:eastAsia="仿宋_GB2312" w:cs="Times New Roman"/>
      <w:sz w:val="18"/>
      <w:szCs w:val="18"/>
    </w:rPr>
  </w:style>
  <w:style w:type="paragraph" w:customStyle="1" w:styleId="11">
    <w:name w:val="常用样式（方正仿宋简）"/>
    <w:basedOn w:val="1"/>
    <w:next w:val="2"/>
    <w:qFormat/>
    <w:uiPriority w:val="99"/>
    <w:pPr>
      <w:spacing w:line="560" w:lineRule="exact"/>
      <w:ind w:firstLine="200" w:firstLineChars="200"/>
    </w:pPr>
    <w:rPr>
      <w:rFonts w:ascii="Calibri" w:hAnsi="Calibri" w:eastAsia="方正仿宋简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6075CB5-5D1D-47DD-B21C-EBF50A2808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2601</Words>
  <Characters>2692</Characters>
  <Lines>19</Lines>
  <Paragraphs>5</Paragraphs>
  <TotalTime>54</TotalTime>
  <ScaleCrop>false</ScaleCrop>
  <LinksUpToDate>false</LinksUpToDate>
  <CharactersWithSpaces>2726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2024-03-11T17:42:00Z</dcterms:created>
  <dc:creator>Liu Qi</dc:creator>
  <cp:lastModifiedBy>Administrator</cp:lastModifiedBy>
  <cp:lastPrinted>2024-03-27T06:59:00Z</cp:lastPrinted>
  <dcterms:modified xsi:type="dcterms:W3CDTF">2024-08-19T07:47:50Z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BFD50BBC575C474F83F5A2763683C403_13</vt:lpwstr>
  </property>
</Properties>
</file>