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AFC00E">
      <w:pPr>
        <w:spacing w:line="560" w:lineRule="exact"/>
        <w:jc w:val="center"/>
        <w:rPr>
          <w:rFonts w:ascii="Times New Roman" w:hAnsi="Times New Roman" w:eastAsia="方正小标宋简体" w:cs="Times New Roman"/>
          <w:color w:val="000000" w:themeColor="text1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00000" w:themeColor="text1"/>
          <w:sz w:val="44"/>
          <w:szCs w:val="44"/>
        </w:rPr>
        <w:t>遂宁市自然资源和规划局</w:t>
      </w:r>
    </w:p>
    <w:p w14:paraId="440B6F54">
      <w:pPr>
        <w:widowControl/>
        <w:spacing w:line="560" w:lineRule="exact"/>
        <w:jc w:val="center"/>
        <w:rPr>
          <w:rFonts w:ascii="Times New Roman" w:hAnsi="Times New Roman" w:eastAsia="方正小标宋简体" w:cs="Times New Roman"/>
          <w:color w:val="000000" w:themeColor="text1"/>
          <w:kern w:val="0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00000" w:themeColor="text1"/>
          <w:sz w:val="44"/>
          <w:szCs w:val="44"/>
        </w:rPr>
        <w:t>关于《遂宁市城市总体规划实施评估与修编》项目支出绩效自评报告</w:t>
      </w:r>
    </w:p>
    <w:p w14:paraId="2F5E7AE7">
      <w:pPr>
        <w:tabs>
          <w:tab w:val="left" w:pos="3885"/>
        </w:tabs>
        <w:snapToGrid w:val="0"/>
        <w:spacing w:line="500" w:lineRule="exact"/>
        <w:ind w:left="629"/>
        <w:rPr>
          <w:rFonts w:ascii="Times New Roman" w:hAnsi="Times New Roman" w:eastAsia="黑体" w:cs="Times New Roman"/>
          <w:color w:val="000000" w:themeColor="text1"/>
          <w:sz w:val="32"/>
          <w:szCs w:val="32"/>
        </w:rPr>
      </w:pPr>
    </w:p>
    <w:p w14:paraId="79971650">
      <w:pPr>
        <w:tabs>
          <w:tab w:val="left" w:pos="3885"/>
        </w:tabs>
        <w:snapToGrid w:val="0"/>
        <w:spacing w:line="560" w:lineRule="exact"/>
        <w:ind w:firstLine="640" w:firstLineChars="200"/>
        <w:rPr>
          <w:rFonts w:ascii="Times New Roman" w:hAnsi="Times New Roman" w:eastAsia="黑体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黑体" w:cs="Times New Roman"/>
          <w:color w:val="000000" w:themeColor="text1"/>
          <w:sz w:val="32"/>
          <w:szCs w:val="32"/>
        </w:rPr>
        <w:t>一、项目情况</w:t>
      </w:r>
    </w:p>
    <w:p w14:paraId="4FE1CA5C">
      <w:pPr>
        <w:spacing w:line="560" w:lineRule="exact"/>
        <w:ind w:firstLine="640"/>
        <w:rPr>
          <w:rFonts w:ascii="Times New Roman" w:hAnsi="Times New Roman" w:eastAsia="楷体" w:cs="Times New Roman"/>
          <w:bCs/>
          <w:color w:val="000000" w:themeColor="text1"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bCs/>
          <w:color w:val="000000" w:themeColor="text1"/>
          <w:kern w:val="0"/>
          <w:sz w:val="32"/>
          <w:szCs w:val="32"/>
        </w:rPr>
        <w:t>（一）项目基本概况</w:t>
      </w:r>
    </w:p>
    <w:p w14:paraId="7223D1F9">
      <w:pPr>
        <w:spacing w:line="560" w:lineRule="exact"/>
        <w:ind w:firstLine="640"/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</w:rPr>
      </w:pPr>
      <w:r>
        <w:rPr>
          <w:rFonts w:ascii="仿宋_GB2312" w:hAnsi="仿宋" w:eastAsia="仿宋_GB2312" w:cs="宋体"/>
          <w:kern w:val="0"/>
          <w:sz w:val="32"/>
          <w:szCs w:val="32"/>
          <w:lang w:val="zh-TW" w:eastAsia="zh-TW"/>
        </w:rPr>
        <w:t>为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TW"/>
        </w:rPr>
        <w:t>全面</w:t>
      </w:r>
      <w:r>
        <w:rPr>
          <w:rFonts w:ascii="仿宋_GB2312" w:hAnsi="仿宋" w:eastAsia="仿宋_GB2312" w:cs="宋体"/>
          <w:kern w:val="0"/>
          <w:sz w:val="32"/>
          <w:szCs w:val="32"/>
          <w:lang w:val="zh-TW" w:eastAsia="zh-TW"/>
        </w:rPr>
        <w:t>贯彻落实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TW"/>
        </w:rPr>
        <w:t>党的十九大、十九届三中全会精神和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习近平总书记对四川工作系列重要指示精神，体现习近平生态文明思想</w:t>
      </w:r>
      <w:bookmarkStart w:id="0" w:name="_GoBack"/>
      <w:bookmarkEnd w:id="0"/>
      <w:r>
        <w:rPr>
          <w:rFonts w:hint="eastAsia" w:ascii="仿宋_GB2312" w:hAnsi="仿宋" w:eastAsia="仿宋_GB2312" w:cs="宋体"/>
          <w:kern w:val="0"/>
          <w:sz w:val="32"/>
          <w:szCs w:val="32"/>
        </w:rPr>
        <w:t>和发展新理念，顺应新时代国土空间治理要求，构建以国土空间规划为基础、以统一用途管制为手段的国土空间开发保护制度，推动遂宁绿色发展、高质量发展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，2019年3月，我市启动市级国土空间总体规划编制工作</w:t>
      </w:r>
      <w:r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</w:rPr>
        <w:t>。201</w:t>
      </w:r>
      <w:r>
        <w:rPr>
          <w:rFonts w:hint="eastAsia" w:ascii="Times New Roman" w:hAnsi="Times New Roman" w:eastAsia="仿宋" w:cs="Times New Roman"/>
          <w:color w:val="000000" w:themeColor="text1"/>
          <w:kern w:val="0"/>
          <w:sz w:val="32"/>
          <w:szCs w:val="32"/>
        </w:rPr>
        <w:t>9</w:t>
      </w:r>
      <w:r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color w:val="000000" w:themeColor="text1"/>
          <w:kern w:val="0"/>
          <w:sz w:val="32"/>
          <w:szCs w:val="32"/>
        </w:rPr>
        <w:t>4</w:t>
      </w:r>
      <w:r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</w:rPr>
        <w:t>月，</w:t>
      </w:r>
      <w:r>
        <w:rPr>
          <w:rFonts w:ascii="Times New Roman" w:hAnsi="Times New Roman" w:eastAsia="仿宋_GB2312" w:cs="Times New Roman"/>
          <w:bCs/>
          <w:snapToGrid w:val="0"/>
          <w:color w:val="000000"/>
          <w:sz w:val="32"/>
          <w:szCs w:val="32"/>
        </w:rPr>
        <w:t>通过公开招标方式招得设计单位，中标价为1286万元</w:t>
      </w:r>
      <w:r>
        <w:rPr>
          <w:rFonts w:ascii="Times New Roman" w:hAnsi="Times New Roman" w:eastAsia="仿宋_GB2312" w:cs="Times New Roman"/>
          <w:sz w:val="32"/>
        </w:rPr>
        <w:t>。该项目编制经费目前已支付</w:t>
      </w:r>
      <w:r>
        <w:rPr>
          <w:rFonts w:hint="eastAsia" w:ascii="Times New Roman" w:hAnsi="Times New Roman" w:eastAsia="仿宋_GB2312" w:cs="Times New Roman"/>
          <w:sz w:val="32"/>
        </w:rPr>
        <w:t>1157.4</w:t>
      </w:r>
      <w:r>
        <w:rPr>
          <w:rFonts w:ascii="Times New Roman" w:hAnsi="Times New Roman" w:eastAsia="仿宋_GB2312" w:cs="Times New Roman"/>
          <w:sz w:val="32"/>
        </w:rPr>
        <w:t>万元，剩余</w:t>
      </w:r>
      <w:r>
        <w:rPr>
          <w:rFonts w:hint="eastAsia" w:ascii="Times New Roman" w:hAnsi="Times New Roman" w:eastAsia="仿宋_GB2312" w:cs="Times New Roman"/>
          <w:sz w:val="32"/>
        </w:rPr>
        <w:t>128.6</w:t>
      </w:r>
      <w:r>
        <w:rPr>
          <w:rFonts w:ascii="Times New Roman" w:hAnsi="Times New Roman" w:eastAsia="仿宋_GB2312" w:cs="Times New Roman"/>
          <w:sz w:val="32"/>
        </w:rPr>
        <w:t>万元未支付。</w:t>
      </w:r>
      <w:r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</w:rPr>
        <w:t>资金支付按照合同约定支付，资金管理符合相应管理办法。</w:t>
      </w:r>
    </w:p>
    <w:p w14:paraId="64507CE2">
      <w:pPr>
        <w:spacing w:line="560" w:lineRule="exact"/>
        <w:ind w:firstLine="640"/>
        <w:rPr>
          <w:rFonts w:ascii="Times New Roman" w:hAnsi="Times New Roman" w:eastAsia="楷体" w:cs="Times New Roman"/>
          <w:bCs/>
          <w:color w:val="000000" w:themeColor="text1"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bCs/>
          <w:color w:val="000000" w:themeColor="text1"/>
          <w:kern w:val="0"/>
          <w:sz w:val="32"/>
          <w:szCs w:val="32"/>
        </w:rPr>
        <w:t>（二）项目绩效目标</w:t>
      </w:r>
    </w:p>
    <w:p w14:paraId="25536EBC">
      <w:pPr>
        <w:spacing w:line="360" w:lineRule="auto"/>
        <w:ind w:firstLine="640" w:firstLineChars="200"/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全面贯彻落实党的十九大精神，认真落实省委十一届三次和市委七届六次全会部署，全面调查评估遂宁市国土空间开发、保护、整治现状，准确把握现阶段遂宁市发展面临的形势和要求，在资源环境承载研究和国土空间适宜性评价基础上，划定生态保护、永久基本农田、城镇开发三条空间管控底线，围绕优化国土开发保护格局、合理配置各类自然资源、全面开展国土整治与生态保护修复、提高国土资源保障能力，明确国土空间开发、利用、保护和整治的总体战略，确定规划目标和总体格局，划分国土空间，制定管控规则，明确重大工程安排，制定规划实施保障措施，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TW"/>
        </w:rPr>
        <w:t>实现自然空间与发展空间的统一，引领和支撑遂宁市经济社会可持续发展，使国土空间</w:t>
      </w:r>
      <w:r>
        <w:rPr>
          <w:rFonts w:ascii="仿宋_GB2312" w:hAnsi="仿宋" w:eastAsia="仿宋_GB2312" w:cs="宋体"/>
          <w:kern w:val="0"/>
          <w:sz w:val="32"/>
          <w:szCs w:val="32"/>
          <w:lang w:val="zh-TW" w:eastAsia="zh-TW"/>
        </w:rPr>
        <w:t>总体规划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TW"/>
        </w:rPr>
        <w:t>成</w:t>
      </w:r>
      <w:r>
        <w:rPr>
          <w:rFonts w:ascii="仿宋_GB2312" w:hAnsi="仿宋" w:eastAsia="仿宋_GB2312" w:cs="宋体"/>
          <w:kern w:val="0"/>
          <w:sz w:val="32"/>
          <w:szCs w:val="32"/>
          <w:lang w:val="zh-TW" w:eastAsia="zh-TW"/>
        </w:rPr>
        <w:t>为落实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中省</w:t>
      </w:r>
      <w:r>
        <w:rPr>
          <w:rFonts w:ascii="仿宋_GB2312" w:hAnsi="仿宋" w:eastAsia="仿宋_GB2312" w:cs="宋体"/>
          <w:kern w:val="0"/>
          <w:sz w:val="32"/>
          <w:szCs w:val="32"/>
          <w:lang w:val="zh-TW" w:eastAsia="zh-TW"/>
        </w:rPr>
        <w:t>战略、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TW"/>
        </w:rPr>
        <w:t>凝聚</w:t>
      </w:r>
      <w:r>
        <w:rPr>
          <w:rFonts w:ascii="仿宋_GB2312" w:hAnsi="仿宋" w:eastAsia="仿宋_GB2312" w:cs="宋体"/>
          <w:kern w:val="0"/>
          <w:sz w:val="32"/>
          <w:szCs w:val="32"/>
          <w:lang w:val="zh-TW" w:eastAsia="zh-TW"/>
        </w:rPr>
        <w:t>社会共识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TW"/>
        </w:rPr>
        <w:t>、统筹资源配置的共同纲领</w:t>
      </w:r>
      <w:r>
        <w:rPr>
          <w:rFonts w:ascii="仿宋_GB2312" w:hAnsi="仿宋" w:eastAsia="仿宋_GB2312" w:cs="宋体"/>
          <w:kern w:val="0"/>
          <w:sz w:val="32"/>
          <w:szCs w:val="32"/>
          <w:lang w:val="zh-TW" w:eastAsia="zh-TW"/>
        </w:rPr>
        <w:t>。</w:t>
      </w:r>
    </w:p>
    <w:p w14:paraId="49925C8A">
      <w:pPr>
        <w:spacing w:line="560" w:lineRule="exact"/>
        <w:ind w:firstLine="640"/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</w:rPr>
        <w:t>本项目申报符合具体实施内容、项目合理可行。</w:t>
      </w:r>
    </w:p>
    <w:p w14:paraId="6A95BEB5">
      <w:pPr>
        <w:spacing w:line="560" w:lineRule="exact"/>
        <w:ind w:firstLine="640"/>
        <w:rPr>
          <w:rFonts w:ascii="Times New Roman" w:hAnsi="Times New Roman" w:eastAsia="楷体" w:cs="Times New Roman"/>
          <w:bCs/>
          <w:color w:val="000000" w:themeColor="text1"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bCs/>
          <w:color w:val="000000" w:themeColor="text1"/>
          <w:kern w:val="0"/>
          <w:sz w:val="32"/>
          <w:szCs w:val="32"/>
        </w:rPr>
        <w:t>（三）项目自评步骤及方法</w:t>
      </w:r>
    </w:p>
    <w:p w14:paraId="6430F953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</w:rPr>
        <w:t>按照市级专项预算项目支出绩效评价指标体系，以项目决策、项目实施、预算执行等各项指标是否达到为依据，自评得分为100分。</w:t>
      </w:r>
    </w:p>
    <w:p w14:paraId="54266E15">
      <w:pPr>
        <w:tabs>
          <w:tab w:val="left" w:pos="3885"/>
        </w:tabs>
        <w:snapToGrid w:val="0"/>
        <w:spacing w:line="560" w:lineRule="exact"/>
        <w:ind w:left="632"/>
        <w:rPr>
          <w:rFonts w:ascii="Times New Roman" w:hAnsi="Times New Roman" w:eastAsia="黑体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黑体" w:cs="Times New Roman"/>
          <w:color w:val="000000" w:themeColor="text1"/>
          <w:sz w:val="32"/>
          <w:szCs w:val="32"/>
        </w:rPr>
        <w:t>二、项目资金申报及使用情况</w:t>
      </w:r>
    </w:p>
    <w:p w14:paraId="38AAA91B">
      <w:pPr>
        <w:spacing w:line="560" w:lineRule="exact"/>
        <w:ind w:firstLine="640"/>
        <w:rPr>
          <w:rFonts w:ascii="Times New Roman" w:hAnsi="Times New Roman" w:eastAsia="楷体" w:cs="Times New Roman"/>
          <w:bCs/>
          <w:color w:val="000000" w:themeColor="text1"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bCs/>
          <w:color w:val="000000" w:themeColor="text1"/>
          <w:kern w:val="0"/>
          <w:sz w:val="32"/>
          <w:szCs w:val="32"/>
        </w:rPr>
        <w:t>（一）项目资金申报及批复情况</w:t>
      </w:r>
    </w:p>
    <w:p w14:paraId="4DE4EFD2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000000" w:themeColor="text1"/>
          <w:kern w:val="0"/>
          <w:sz w:val="32"/>
          <w:szCs w:val="32"/>
        </w:rPr>
        <w:t>2018年7月20日，我局以《关于启动遂宁市城市总体规划评估和修编工作的请示》（遂规〔2018〕82号），向市政府请示启动编制该规划。8月14日，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市财政局向市政府建议该项目编制经费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纳入市本级专项经费。市政府批示同意。</w:t>
      </w:r>
    </w:p>
    <w:p w14:paraId="03D8258E">
      <w:pPr>
        <w:spacing w:line="560" w:lineRule="exact"/>
        <w:ind w:firstLine="640"/>
        <w:rPr>
          <w:rFonts w:ascii="Times New Roman" w:hAnsi="Times New Roman" w:eastAsia="楷体" w:cs="Times New Roman"/>
          <w:bCs/>
          <w:color w:val="000000" w:themeColor="text1"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bCs/>
          <w:color w:val="000000" w:themeColor="text1"/>
          <w:kern w:val="0"/>
          <w:sz w:val="32"/>
          <w:szCs w:val="32"/>
        </w:rPr>
        <w:t>（二）资金计划、到位及使用情况</w:t>
      </w:r>
    </w:p>
    <w:p w14:paraId="6673DDBD">
      <w:pPr>
        <w:pStyle w:val="9"/>
        <w:spacing w:line="560" w:lineRule="exact"/>
        <w:ind w:firstLine="640" w:firstLineChars="200"/>
        <w:jc w:val="both"/>
        <w:rPr>
          <w:rFonts w:ascii="Times New Roman" w:hAnsi="Times New Roman" w:eastAsia="仿宋" w:cs="Times New Roman"/>
          <w:bCs/>
          <w:color w:val="000000" w:themeColor="text1"/>
          <w:sz w:val="32"/>
          <w:szCs w:val="32"/>
        </w:rPr>
      </w:pPr>
      <w:r>
        <w:rPr>
          <w:rFonts w:ascii="Times New Roman" w:hAnsi="Times New Roman" w:eastAsia="仿宋" w:cs="Times New Roman"/>
          <w:bCs/>
          <w:color w:val="000000" w:themeColor="text1"/>
          <w:sz w:val="32"/>
          <w:szCs w:val="32"/>
        </w:rPr>
        <w:t>1.资金计划和到位情况</w:t>
      </w:r>
    </w:p>
    <w:p w14:paraId="4BA14C40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</w:rPr>
        <w:t>2023年资金计划为385.8万元，财政下达专项资金385.8万元。</w:t>
      </w:r>
    </w:p>
    <w:p w14:paraId="25FCFC34">
      <w:pPr>
        <w:pStyle w:val="9"/>
        <w:spacing w:line="560" w:lineRule="exact"/>
        <w:ind w:firstLine="640" w:firstLineChars="200"/>
        <w:jc w:val="both"/>
        <w:rPr>
          <w:rFonts w:ascii="Times New Roman" w:hAnsi="Times New Roman" w:eastAsia="仿宋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仿宋" w:cs="Times New Roman"/>
          <w:bCs/>
          <w:color w:val="000000" w:themeColor="text1"/>
          <w:sz w:val="32"/>
          <w:szCs w:val="32"/>
        </w:rPr>
        <w:t>2.资金使用情况</w:t>
      </w:r>
    </w:p>
    <w:p w14:paraId="2361B650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</w:rPr>
        <w:t>按照项目进度和合同约定，2023年12月向规划编制单位拨付编制经费385.8万元，款项全部用于开展该项工作，支付依据合规合法。</w:t>
      </w:r>
    </w:p>
    <w:p w14:paraId="0D89ACC4">
      <w:pPr>
        <w:spacing w:line="560" w:lineRule="exact"/>
        <w:ind w:firstLine="640"/>
        <w:rPr>
          <w:rFonts w:ascii="Times New Roman" w:hAnsi="Times New Roman" w:eastAsia="楷体" w:cs="Times New Roman"/>
          <w:bCs/>
          <w:color w:val="000000" w:themeColor="text1"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bCs/>
          <w:color w:val="000000" w:themeColor="text1"/>
          <w:kern w:val="0"/>
          <w:sz w:val="32"/>
          <w:szCs w:val="32"/>
        </w:rPr>
        <w:t>（三）项目财务管理情况</w:t>
      </w:r>
    </w:p>
    <w:p w14:paraId="64A73879">
      <w:pPr>
        <w:pStyle w:val="9"/>
        <w:spacing w:line="560" w:lineRule="exact"/>
        <w:ind w:firstLine="640" w:firstLineChars="200"/>
        <w:jc w:val="both"/>
        <w:rPr>
          <w:rFonts w:ascii="Times New Roman" w:hAnsi="Times New Roman" w:eastAsia="仿宋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</w:rPr>
        <w:t>该项目资金属于专款规划编制类专用资金，大额资金支出均列为“三重一大”的议题，通过局党委会研究支出，严格按照财政专项资金的管理办法进行财务管理，并严格执行相关政策。</w:t>
      </w:r>
    </w:p>
    <w:p w14:paraId="77A6943F">
      <w:pPr>
        <w:tabs>
          <w:tab w:val="left" w:pos="3885"/>
        </w:tabs>
        <w:snapToGrid w:val="0"/>
        <w:spacing w:line="560" w:lineRule="exact"/>
        <w:ind w:left="632"/>
        <w:rPr>
          <w:rFonts w:ascii="Times New Roman" w:hAnsi="Times New Roman" w:eastAsia="黑体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黑体" w:cs="Times New Roman"/>
          <w:color w:val="000000" w:themeColor="text1"/>
          <w:sz w:val="32"/>
          <w:szCs w:val="32"/>
        </w:rPr>
        <w:t>三、项目实施及管理情况</w:t>
      </w:r>
    </w:p>
    <w:p w14:paraId="694970A5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</w:rPr>
        <w:t>按照自然资源部、四川省对国土空间总体规划工作的相关要求，未编制或正在编制城市总体规划、土地利用规划的城市，不再单独编制，统一按要求编制国土空间总体规划。根据中共遂宁市委2019年第19期会议纪要及市领导在遂自然资规〔2019〕128号文件上的批示精神，2021年1月21日，《遂宁市城市总体规划评估和修编》与《遂宁市“多规合一”规划》两个项目，整合形成《遂宁市国土空间总体规划（2021-2035年）》（以下简称“总规”）项目。两项目整合后，形成联合编制组，由中国城市规划设计研究院为项目总牵头单位，广州市城市规划勘测设计研究院为协作单位，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为此项工作的开展提供了有力的技术力量保障。</w:t>
      </w:r>
    </w:p>
    <w:p w14:paraId="2846F493">
      <w:pPr>
        <w:tabs>
          <w:tab w:val="left" w:pos="3885"/>
        </w:tabs>
        <w:snapToGrid w:val="0"/>
        <w:spacing w:line="560" w:lineRule="exact"/>
        <w:ind w:left="632"/>
        <w:rPr>
          <w:rFonts w:ascii="Times New Roman" w:hAnsi="Times New Roman" w:eastAsia="黑体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黑体" w:cs="Times New Roman"/>
          <w:color w:val="000000" w:themeColor="text1"/>
          <w:sz w:val="32"/>
          <w:szCs w:val="32"/>
        </w:rPr>
        <w:t>四、项目绩效情况</w:t>
      </w:r>
    </w:p>
    <w:p w14:paraId="247F2517">
      <w:pPr>
        <w:spacing w:line="560" w:lineRule="exact"/>
        <w:ind w:firstLine="640"/>
        <w:rPr>
          <w:rFonts w:ascii="Times New Roman" w:hAnsi="Times New Roman" w:eastAsia="楷体" w:cs="Times New Roman"/>
          <w:bCs/>
          <w:color w:val="000000" w:themeColor="text1"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bCs/>
          <w:color w:val="000000" w:themeColor="text1"/>
          <w:kern w:val="0"/>
          <w:sz w:val="32"/>
          <w:szCs w:val="32"/>
        </w:rPr>
        <w:t>（一）项目完成情况</w:t>
      </w:r>
    </w:p>
    <w:p w14:paraId="385DF48F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bCs/>
          <w:color w:val="000000" w:themeColor="text1"/>
          <w:kern w:val="0"/>
          <w:sz w:val="32"/>
          <w:szCs w:val="32"/>
        </w:rPr>
      </w:pPr>
      <w:r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</w:rPr>
        <w:t>总规</w:t>
      </w:r>
      <w:r>
        <w:rPr>
          <w:rFonts w:ascii="Times New Roman" w:hAnsi="Times New Roman" w:eastAsia="仿宋_GB2312" w:cs="Times New Roman"/>
          <w:sz w:val="32"/>
          <w:szCs w:val="32"/>
        </w:rPr>
        <w:t>成果已于2022年12月通过市规委会审议，并按程序开展规划公示、社会稳定风险评估和合法性审查。2023年3月通过市政府八届第36次常务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会议</w:t>
      </w:r>
      <w:r>
        <w:rPr>
          <w:rFonts w:ascii="Times New Roman" w:hAnsi="Times New Roman" w:eastAsia="仿宋_GB2312" w:cs="Times New Roman"/>
          <w:sz w:val="32"/>
          <w:szCs w:val="32"/>
        </w:rPr>
        <w:t>审议、市人大第八届第14次常务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会议</w:t>
      </w:r>
      <w:r>
        <w:rPr>
          <w:rFonts w:ascii="Times New Roman" w:hAnsi="Times New Roman" w:eastAsia="仿宋_GB2312" w:cs="Times New Roman"/>
          <w:sz w:val="32"/>
          <w:szCs w:val="32"/>
        </w:rPr>
        <w:t>批准，4月通过八届市委常委会第57次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会议</w:t>
      </w:r>
      <w:r>
        <w:rPr>
          <w:rFonts w:ascii="Times New Roman" w:hAnsi="Times New Roman" w:eastAsia="仿宋_GB2312" w:cs="Times New Roman"/>
          <w:sz w:val="32"/>
          <w:szCs w:val="32"/>
        </w:rPr>
        <w:t>审议，5月以市政府名义正式报请省政府审批。2024年2月27日，正式获得省政府批准实施。</w:t>
      </w:r>
    </w:p>
    <w:p w14:paraId="0617B191">
      <w:pPr>
        <w:spacing w:line="560" w:lineRule="exact"/>
        <w:ind w:firstLine="640"/>
        <w:rPr>
          <w:rFonts w:ascii="Times New Roman" w:hAnsi="Times New Roman" w:eastAsia="楷体" w:cs="Times New Roman"/>
          <w:bCs/>
          <w:color w:val="000000" w:themeColor="text1"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bCs/>
          <w:color w:val="000000" w:themeColor="text1"/>
          <w:kern w:val="0"/>
          <w:sz w:val="32"/>
          <w:szCs w:val="32"/>
        </w:rPr>
        <w:t>（二）项目效益情况</w:t>
      </w:r>
    </w:p>
    <w:p w14:paraId="5FB08079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总规是遂宁市空间发展的指南、可持续发展的空间蓝图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是各类开发保护建设活动的基本依据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为遂宁市着力建设成渝中部现代化建设示范市和锂电之都、陆港型国家物流枢纽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打造遂潼川渝毗邻地区一体化发展先行区提供有力保障。</w:t>
      </w:r>
    </w:p>
    <w:p w14:paraId="341B6188">
      <w:pPr>
        <w:tabs>
          <w:tab w:val="left" w:pos="3885"/>
        </w:tabs>
        <w:snapToGrid w:val="0"/>
        <w:spacing w:line="560" w:lineRule="exact"/>
        <w:ind w:firstLine="640" w:firstLineChars="200"/>
        <w:rPr>
          <w:rFonts w:ascii="Times New Roman" w:hAnsi="Times New Roman" w:eastAsia="黑体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黑体" w:cs="Times New Roman"/>
          <w:color w:val="000000" w:themeColor="text1"/>
          <w:sz w:val="32"/>
          <w:szCs w:val="32"/>
        </w:rPr>
        <w:t>五、评价结论及建议</w:t>
      </w:r>
    </w:p>
    <w:p w14:paraId="5AE035B1">
      <w:pPr>
        <w:spacing w:line="560" w:lineRule="exact"/>
        <w:ind w:firstLine="640"/>
        <w:rPr>
          <w:rFonts w:ascii="Times New Roman" w:hAnsi="Times New Roman" w:eastAsia="楷体" w:cs="Times New Roman"/>
          <w:bCs/>
          <w:color w:val="000000" w:themeColor="text1"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bCs/>
          <w:color w:val="000000" w:themeColor="text1"/>
          <w:kern w:val="0"/>
          <w:sz w:val="32"/>
          <w:szCs w:val="32"/>
        </w:rPr>
        <w:t>（一）评价结论</w:t>
      </w:r>
    </w:p>
    <w:p w14:paraId="6D6EC09F">
      <w:pPr>
        <w:pStyle w:val="9"/>
        <w:spacing w:line="560" w:lineRule="exact"/>
        <w:ind w:firstLine="640" w:firstLineChars="200"/>
        <w:jc w:val="both"/>
        <w:rPr>
          <w:rFonts w:ascii="Times New Roman" w:hAnsi="Times New Roman" w:eastAsia="仿宋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</w:rPr>
        <w:t>项目自评得分为100分。项目设立经过严格评估论证，设立依据充分，严格按照部、省相关政策文件要求开展工作，符合市政府重大决策部署和宏观政策规划。项目的资金分配与规划计划基本一致，项目实施后基本完成预期目标。</w:t>
      </w:r>
    </w:p>
    <w:p w14:paraId="4404965A">
      <w:pPr>
        <w:spacing w:line="560" w:lineRule="exact"/>
        <w:ind w:firstLine="640"/>
        <w:rPr>
          <w:rFonts w:ascii="Times New Roman" w:hAnsi="Times New Roman" w:eastAsia="楷体" w:cs="Times New Roman"/>
          <w:bCs/>
          <w:color w:val="000000" w:themeColor="text1"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bCs/>
          <w:color w:val="000000" w:themeColor="text1"/>
          <w:kern w:val="0"/>
          <w:sz w:val="32"/>
          <w:szCs w:val="32"/>
        </w:rPr>
        <w:t>（二）相关建议</w:t>
      </w:r>
    </w:p>
    <w:p w14:paraId="5FEE17DA">
      <w:pPr>
        <w:pStyle w:val="9"/>
        <w:ind w:firstLine="640" w:firstLineChars="200"/>
        <w:jc w:val="both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随着市县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国土空间总体规划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获得批准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下一步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加快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专项规划、详细规划的编制，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有序推动中心城区详细规划全覆盖，为各片区开发建设和项目审查审批提供法定依据，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促进城市有序、高效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和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高质量发展。建议加大规划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编制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专项经费统筹，保障工作顺利推进。</w:t>
      </w:r>
    </w:p>
    <w:p w14:paraId="1885BC8A">
      <w:pPr>
        <w:pStyle w:val="9"/>
        <w:spacing w:line="560" w:lineRule="exact"/>
        <w:ind w:firstLine="640" w:firstLineChars="200"/>
        <w:jc w:val="both"/>
        <w:rPr>
          <w:rFonts w:ascii="Times New Roman" w:hAnsi="Times New Roman" w:eastAsia="仿宋" w:cs="Times New Roman"/>
          <w:bCs/>
          <w:color w:val="000000" w:themeColor="text1"/>
          <w:sz w:val="32"/>
          <w:szCs w:val="32"/>
        </w:rPr>
      </w:pPr>
    </w:p>
    <w:p w14:paraId="3DA4433B">
      <w:pPr>
        <w:pStyle w:val="9"/>
        <w:spacing w:line="560" w:lineRule="exact"/>
        <w:ind w:left="1598" w:leftChars="304" w:hanging="960" w:hangingChars="300"/>
        <w:jc w:val="both"/>
        <w:rPr>
          <w:rFonts w:ascii="Times New Roman" w:hAnsi="Times New Roman" w:eastAsia="仿宋" w:cs="Times New Roman"/>
          <w:bCs/>
          <w:color w:val="000000" w:themeColor="text1"/>
          <w:sz w:val="32"/>
          <w:szCs w:val="32"/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</w:rPr>
        <w:t>附件：《遂宁市城市总体规划实施评估与修编》2023年市级专项预算项目支出绩效评价指标体系</w:t>
      </w:r>
    </w:p>
    <w:p w14:paraId="63446C72">
      <w:pPr>
        <w:pStyle w:val="9"/>
        <w:spacing w:line="560" w:lineRule="exact"/>
        <w:jc w:val="both"/>
        <w:rPr>
          <w:rFonts w:ascii="Times New Roman" w:hAnsi="Times New Roman" w:eastAsia="仿宋" w:cs="Times New Roman"/>
          <w:color w:val="000000" w:themeColor="text1"/>
          <w:sz w:val="32"/>
          <w:szCs w:val="32"/>
        </w:rPr>
      </w:pPr>
    </w:p>
    <w:p w14:paraId="51220DEE">
      <w:pPr>
        <w:spacing w:line="560" w:lineRule="exact"/>
        <w:ind w:firstLine="4320" w:firstLineChars="1350"/>
        <w:rPr>
          <w:rFonts w:ascii="Times New Roman" w:hAnsi="Times New Roman" w:eastAsia="仿宋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</w:rPr>
        <w:t>遂宁市自然资源和规划局</w:t>
      </w:r>
    </w:p>
    <w:p w14:paraId="1A595041">
      <w:pPr>
        <w:pStyle w:val="6"/>
        <w:spacing w:line="560" w:lineRule="exact"/>
        <w:ind w:left="1058" w:leftChars="504" w:firstLine="3840" w:firstLineChars="1200"/>
        <w:rPr>
          <w:rFonts w:ascii="Times New Roman" w:hAnsi="Times New Roman" w:eastAsia="仿宋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</w:rPr>
        <w:t>2024年3月  日</w:t>
      </w:r>
    </w:p>
    <w:sectPr>
      <w:footerReference r:id="rId3" w:type="default"/>
      <w:footerReference r:id="rId4" w:type="even"/>
      <w:pgSz w:w="11906" w:h="16838"/>
      <w:pgMar w:top="1985" w:right="1361" w:bottom="1361" w:left="1701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..ì.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54A84E">
    <w:pPr>
      <w:pStyle w:val="4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011A0C74">
                <w:pPr>
                  <w:pStyle w:val="4"/>
                  <w:rPr>
                    <w:rFonts w:ascii="Times New Roman" w:hAnsi="Times New Roman" w:cs="Times New Roman"/>
                    <w:sz w:val="20"/>
                  </w:rPr>
                </w:pPr>
                <w:r>
                  <w:rPr>
                    <w:rFonts w:ascii="Times New Roman" w:hAnsi="Times New Roman" w:cs="Times New Roman"/>
                    <w:sz w:val="28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  <w:sz w:val="28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sz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sz w:val="28"/>
                  </w:rPr>
                  <w:t>- 3 -</w:t>
                </w:r>
                <w:r>
                  <w:rPr>
                    <w:rFonts w:ascii="Times New Roman" w:hAnsi="Times New Roman" w:cs="Times New Roman"/>
                    <w:sz w:val="28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83282563"/>
    </w:sdtPr>
    <w:sdtEndPr>
      <w:rPr>
        <w:rFonts w:ascii="Times New Roman" w:hAnsi="Times New Roman" w:cs="Times New Roman"/>
        <w:sz w:val="28"/>
        <w:szCs w:val="28"/>
      </w:rPr>
    </w:sdtEndPr>
    <w:sdtContent>
      <w:p w14:paraId="2DF78796">
        <w:pPr>
          <w:pStyle w:val="4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-</w:t>
        </w:r>
        <w:r>
          <w:rPr>
            <w:rFonts w:ascii="Times New Roman" w:hAnsi="Times New Roman" w:cs="Times New Roman"/>
            <w:sz w:val="28"/>
            <w:szCs w:val="28"/>
          </w:rPr>
          <w:t xml:space="preserve"> 2 -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EzNWRiNmZhOGY3NDcwZmNmZjAzYTgxZWJiNGRlMzkifQ=="/>
  </w:docVars>
  <w:rsids>
    <w:rsidRoot w:val="62190BD2"/>
    <w:rsid w:val="00017BA4"/>
    <w:rsid w:val="0008710E"/>
    <w:rsid w:val="004E4E06"/>
    <w:rsid w:val="0052569D"/>
    <w:rsid w:val="00610355"/>
    <w:rsid w:val="00874DD9"/>
    <w:rsid w:val="00876541"/>
    <w:rsid w:val="0090572F"/>
    <w:rsid w:val="009971CE"/>
    <w:rsid w:val="00B032AD"/>
    <w:rsid w:val="0B134E2E"/>
    <w:rsid w:val="0C1D2AE4"/>
    <w:rsid w:val="141F00F5"/>
    <w:rsid w:val="16084170"/>
    <w:rsid w:val="1703785A"/>
    <w:rsid w:val="1CCE0D63"/>
    <w:rsid w:val="1EFC2474"/>
    <w:rsid w:val="237340CE"/>
    <w:rsid w:val="2AC86999"/>
    <w:rsid w:val="2C614CAF"/>
    <w:rsid w:val="30EC18F1"/>
    <w:rsid w:val="34563AA3"/>
    <w:rsid w:val="39BC591B"/>
    <w:rsid w:val="3B626996"/>
    <w:rsid w:val="3D4B1AC9"/>
    <w:rsid w:val="3F7171A7"/>
    <w:rsid w:val="439B3176"/>
    <w:rsid w:val="488319E2"/>
    <w:rsid w:val="4C856040"/>
    <w:rsid w:val="53407165"/>
    <w:rsid w:val="53833BDD"/>
    <w:rsid w:val="54754356"/>
    <w:rsid w:val="54F41FB5"/>
    <w:rsid w:val="56222B52"/>
    <w:rsid w:val="587F072F"/>
    <w:rsid w:val="58953252"/>
    <w:rsid w:val="5996188C"/>
    <w:rsid w:val="5A955FE8"/>
    <w:rsid w:val="5B2630E4"/>
    <w:rsid w:val="5C4F0418"/>
    <w:rsid w:val="5D535CE6"/>
    <w:rsid w:val="5DA61239"/>
    <w:rsid w:val="5E3653EC"/>
    <w:rsid w:val="60163B1A"/>
    <w:rsid w:val="62190BD2"/>
    <w:rsid w:val="62F87114"/>
    <w:rsid w:val="650771A1"/>
    <w:rsid w:val="69586B5E"/>
    <w:rsid w:val="698A0CE2"/>
    <w:rsid w:val="6A5A63E0"/>
    <w:rsid w:val="6DA719E4"/>
    <w:rsid w:val="7C33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eastAsia="en-US"/>
    </w:rPr>
  </w:style>
  <w:style w:type="paragraph" w:styleId="3">
    <w:name w:val="Balloon Text"/>
    <w:basedOn w:val="1"/>
    <w:link w:val="11"/>
    <w:uiPriority w:val="0"/>
    <w:rPr>
      <w:sz w:val="18"/>
      <w:szCs w:val="18"/>
    </w:rPr>
  </w:style>
  <w:style w:type="paragraph" w:styleId="4">
    <w:name w:val="footer"/>
    <w:basedOn w:val="1"/>
    <w:link w:val="10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able of figures"/>
    <w:basedOn w:val="1"/>
    <w:next w:val="1"/>
    <w:autoRedefine/>
    <w:qFormat/>
    <w:uiPriority w:val="0"/>
    <w:pPr>
      <w:ind w:left="400" w:leftChars="200" w:hanging="200" w:hangingChars="200"/>
    </w:pPr>
  </w:style>
  <w:style w:type="paragraph" w:customStyle="1" w:styleId="9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..ì." w:hAnsi="..ì." w:eastAsia="..ì." w:cs="..ì."/>
      <w:color w:val="000000"/>
      <w:sz w:val="24"/>
      <w:szCs w:val="24"/>
      <w:lang w:val="en-US" w:eastAsia="zh-CN" w:bidi="ar-SA"/>
    </w:rPr>
  </w:style>
  <w:style w:type="character" w:customStyle="1" w:styleId="10">
    <w:name w:val="页脚 Char"/>
    <w:basedOn w:val="8"/>
    <w:link w:val="4"/>
    <w:autoRedefine/>
    <w:qFormat/>
    <w:uiPriority w:val="99"/>
    <w:rPr>
      <w:kern w:val="2"/>
      <w:sz w:val="18"/>
      <w:szCs w:val="24"/>
    </w:rPr>
  </w:style>
  <w:style w:type="character" w:customStyle="1" w:styleId="11">
    <w:name w:val="批注框文本 Char"/>
    <w:basedOn w:val="8"/>
    <w:link w:val="3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1872</Words>
  <Characters>1965</Characters>
  <Lines>14</Lines>
  <Paragraphs>4</Paragraphs>
  <TotalTime>2</TotalTime>
  <ScaleCrop>false</ScaleCrop>
  <LinksUpToDate>false</LinksUpToDate>
  <CharactersWithSpaces>1967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2023-04-03T08:29:00Z</dcterms:created>
  <dc:creator>流光</dc:creator>
  <cp:lastModifiedBy> </cp:lastModifiedBy>
  <cp:lastPrinted>2023-04-03T08:29:00Z</cp:lastPrinted>
  <dcterms:modified xsi:type="dcterms:W3CDTF">2025-04-21T05:54:44Z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C17EE15EFF134A29B1BCB9A65E44CA49</vt:lpwstr>
  </property>
  <property fmtid="{D5CDD505-2E9C-101B-9397-08002B2CF9AE}" pid="4" name="KSOTemplateDocerSaveRecord">
    <vt:lpwstr>eyJoZGlkIjoiODIwYTYzODk4MzliNTdlNDBhOWE5MTBhMDMxYjAwOGEiLCJ1c2VySWQiOiI0NDE3MjU5MjgifQ==</vt:lpwstr>
  </property>
</Properties>
</file>