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B94DB">
      <w:pPr>
        <w:spacing w:line="600" w:lineRule="exact"/>
        <w:jc w:val="center"/>
        <w:outlineLvl w:val="0"/>
        <w:rPr>
          <w:rFonts w:ascii="方正小标宋简体" w:hAnsi="宋体" w:eastAsia="方正小标宋简体"/>
          <w:sz w:val="72"/>
          <w:szCs w:val="72"/>
        </w:rPr>
      </w:pPr>
      <w:bookmarkStart w:id="0" w:name="_Toc15306267"/>
    </w:p>
    <w:p w14:paraId="7861CF94">
      <w:pPr>
        <w:spacing w:line="600" w:lineRule="exact"/>
        <w:jc w:val="center"/>
        <w:outlineLvl w:val="0"/>
        <w:rPr>
          <w:rFonts w:ascii="方正小标宋简体" w:hAnsi="宋体" w:eastAsia="方正小标宋简体"/>
          <w:sz w:val="72"/>
          <w:szCs w:val="72"/>
        </w:rPr>
      </w:pPr>
    </w:p>
    <w:p w14:paraId="026EC138">
      <w:pPr>
        <w:spacing w:line="600" w:lineRule="exact"/>
        <w:jc w:val="center"/>
        <w:outlineLvl w:val="0"/>
        <w:rPr>
          <w:rFonts w:ascii="方正小标宋简体" w:hAnsi="宋体" w:eastAsia="方正小标宋简体"/>
          <w:sz w:val="72"/>
          <w:szCs w:val="72"/>
        </w:rPr>
      </w:pPr>
    </w:p>
    <w:p w14:paraId="2BCDC3FD">
      <w:pPr>
        <w:spacing w:line="600" w:lineRule="exact"/>
        <w:jc w:val="center"/>
        <w:outlineLvl w:val="0"/>
        <w:rPr>
          <w:rFonts w:ascii="方正小标宋简体" w:hAnsi="宋体" w:eastAsia="方正小标宋简体"/>
          <w:sz w:val="72"/>
          <w:szCs w:val="72"/>
        </w:rPr>
      </w:pPr>
    </w:p>
    <w:p w14:paraId="1D4A06D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21451"/>
      <w:bookmarkStart w:id="2" w:name="_Toc15396475"/>
      <w:bookmarkStart w:id="3" w:name="_Toc15396597"/>
      <w:bookmarkStart w:id="4" w:name="_Toc15377193"/>
      <w:bookmarkStart w:id="5" w:name="_Toc1096"/>
      <w:bookmarkStart w:id="6" w:name="_Toc2824"/>
      <w:bookmarkStart w:id="7" w:name="_Toc15377425"/>
      <w:bookmarkStart w:id="8" w:name="_Toc22128"/>
      <w:bookmarkStart w:id="9" w:name="_Toc15378441"/>
      <w:bookmarkStart w:id="10" w:name="_Toc28734"/>
      <w:bookmarkStart w:id="11" w:name="_Toc31664"/>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bookmarkEnd w:id="10"/>
      <w:bookmarkEnd w:id="11"/>
    </w:p>
    <w:p w14:paraId="5A9F0F8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2" w:name="_Toc15377194"/>
      <w:bookmarkStart w:id="13" w:name="_Toc15377426"/>
      <w:bookmarkStart w:id="14" w:name="_Toc15396476"/>
      <w:bookmarkStart w:id="15" w:name="_Toc8421"/>
      <w:bookmarkStart w:id="16" w:name="_Toc22044"/>
      <w:bookmarkStart w:id="17" w:name="_Toc1269"/>
      <w:bookmarkStart w:id="18" w:name="_Toc17279"/>
      <w:bookmarkStart w:id="19" w:name="_Toc15378442"/>
      <w:bookmarkStart w:id="20" w:name="_Toc15396598"/>
      <w:bookmarkStart w:id="21" w:name="_Toc12285"/>
      <w:r>
        <w:rPr>
          <w:rFonts w:hint="eastAsia" w:ascii="方正小标宋简体" w:hAnsi="方正小标宋简体" w:eastAsia="方正小标宋简体" w:cs="方正小标宋简体"/>
          <w:sz w:val="72"/>
          <w:szCs w:val="72"/>
        </w:rPr>
        <w:t>四川省</w:t>
      </w:r>
      <w:bookmarkEnd w:id="0"/>
      <w:bookmarkStart w:id="22" w:name="_Toc15306268"/>
      <w:r>
        <w:rPr>
          <w:rFonts w:hint="eastAsia" w:ascii="方正小标宋简体" w:hAnsi="方正小标宋简体" w:eastAsia="方正小标宋简体" w:cs="方正小标宋简体"/>
          <w:sz w:val="72"/>
          <w:szCs w:val="72"/>
        </w:rPr>
        <w:t>遂宁市勘察测绘院单位决算</w:t>
      </w:r>
      <w:bookmarkEnd w:id="12"/>
      <w:bookmarkEnd w:id="13"/>
      <w:bookmarkEnd w:id="14"/>
      <w:bookmarkEnd w:id="15"/>
      <w:bookmarkEnd w:id="16"/>
      <w:bookmarkEnd w:id="17"/>
      <w:bookmarkEnd w:id="18"/>
      <w:bookmarkEnd w:id="19"/>
      <w:bookmarkEnd w:id="20"/>
      <w:bookmarkEnd w:id="21"/>
      <w:bookmarkEnd w:id="22"/>
    </w:p>
    <w:p w14:paraId="49842177">
      <w:pPr>
        <w:adjustRightInd w:val="0"/>
        <w:snapToGrid w:val="0"/>
        <w:spacing w:line="360" w:lineRule="auto"/>
        <w:jc w:val="center"/>
        <w:outlineLvl w:val="0"/>
        <w:rPr>
          <w:rFonts w:ascii="方正小标宋简体" w:hAnsi="宋体" w:eastAsia="方正小标宋简体"/>
          <w:sz w:val="52"/>
          <w:szCs w:val="52"/>
        </w:rPr>
      </w:pPr>
    </w:p>
    <w:p w14:paraId="0AA3CEE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D1ED1A7">
      <w:pPr>
        <w:widowControl/>
        <w:jc w:val="center"/>
        <w:rPr>
          <w:rFonts w:ascii="黑体" w:hAnsi="黑体" w:eastAsia="黑体" w:cstheme="minorBidi"/>
          <w:sz w:val="28"/>
          <w:szCs w:val="28"/>
        </w:rPr>
      </w:pPr>
    </w:p>
    <w:p w14:paraId="05D4AF60">
      <w:pPr>
        <w:pStyle w:val="10"/>
      </w:pPr>
      <w:r>
        <w:rPr>
          <w:rFonts w:hint="eastAsia"/>
        </w:rPr>
        <w:t>公开时间：2022年9月9日</w:t>
      </w:r>
    </w:p>
    <w:p w14:paraId="541B21EE">
      <w:pPr>
        <w:rPr>
          <w:color w:val="0000FF"/>
        </w:rPr>
      </w:pPr>
    </w:p>
    <w:p w14:paraId="41DFBA5D">
      <w:pPr>
        <w:pStyle w:val="10"/>
        <w:tabs>
          <w:tab w:val="right" w:leader="dot" w:pos="8306"/>
          <w:tab w:val="clear" w:pos="8296"/>
        </w:tabs>
      </w:pPr>
      <w:bookmarkStart w:id="23" w:name="_Toc15396600"/>
      <w:bookmarkStart w:id="24" w:name="_Toc15377197"/>
      <w:r>
        <w:fldChar w:fldCharType="begin"/>
      </w:r>
      <w:r>
        <w:instrText xml:space="preserve">TOC \o "1-2" \h \u </w:instrText>
      </w:r>
      <w:r>
        <w:fldChar w:fldCharType="separate"/>
      </w:r>
    </w:p>
    <w:p w14:paraId="60535795">
      <w:pPr>
        <w:pStyle w:val="10"/>
        <w:tabs>
          <w:tab w:val="right" w:leader="dot" w:pos="8306"/>
          <w:tab w:val="clear" w:pos="8296"/>
        </w:tabs>
      </w:pPr>
      <w:r>
        <w:fldChar w:fldCharType="begin"/>
      </w:r>
      <w:r>
        <w:instrText xml:space="preserve"> HYPERLINK \l _Toc6701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_Toc6701 \h </w:instrText>
      </w:r>
      <w:r>
        <w:fldChar w:fldCharType="separate"/>
      </w:r>
      <w:r>
        <w:t>4</w:t>
      </w:r>
      <w:r>
        <w:fldChar w:fldCharType="end"/>
      </w:r>
      <w:r>
        <w:fldChar w:fldCharType="end"/>
      </w:r>
    </w:p>
    <w:p w14:paraId="0D51792E">
      <w:pPr>
        <w:pStyle w:val="11"/>
        <w:tabs>
          <w:tab w:val="right" w:leader="dot" w:pos="8306"/>
          <w:tab w:val="clear" w:pos="8296"/>
        </w:tabs>
      </w:pPr>
      <w:r>
        <w:fldChar w:fldCharType="begin"/>
      </w:r>
      <w:r>
        <w:instrText xml:space="preserve"> HYPERLINK \l _Toc4286 </w:instrText>
      </w:r>
      <w:r>
        <w:fldChar w:fldCharType="separate"/>
      </w:r>
      <w:r>
        <w:rPr>
          <w:rFonts w:hint="eastAsia" w:ascii="仿宋" w:hAnsi="仿宋" w:eastAsia="仿宋" w:cs="Times New Roman"/>
          <w:bCs w:val="0"/>
        </w:rPr>
        <w:t xml:space="preserve">一、 </w:t>
      </w:r>
      <w:r>
        <w:rPr>
          <w:rFonts w:hint="eastAsia" w:ascii="黑体" w:hAnsi="黑体" w:eastAsia="黑体"/>
          <w:bCs w:val="0"/>
        </w:rPr>
        <w:t>单位职责</w:t>
      </w:r>
      <w:r>
        <w:tab/>
      </w:r>
      <w:r>
        <w:fldChar w:fldCharType="begin"/>
      </w:r>
      <w:r>
        <w:instrText xml:space="preserve"> PAGEREF _Toc4286 \h </w:instrText>
      </w:r>
      <w:r>
        <w:fldChar w:fldCharType="separate"/>
      </w:r>
      <w:r>
        <w:t>4</w:t>
      </w:r>
      <w:r>
        <w:fldChar w:fldCharType="end"/>
      </w:r>
      <w:r>
        <w:fldChar w:fldCharType="end"/>
      </w:r>
    </w:p>
    <w:p w14:paraId="6CC7FD4C">
      <w:pPr>
        <w:pStyle w:val="11"/>
        <w:tabs>
          <w:tab w:val="right" w:leader="dot" w:pos="8306"/>
          <w:tab w:val="clear" w:pos="8296"/>
        </w:tabs>
        <w:ind w:left="0" w:leftChars="0" w:firstLine="420" w:firstLineChars="200"/>
      </w:pPr>
      <w:r>
        <w:fldChar w:fldCharType="begin"/>
      </w:r>
      <w:r>
        <w:instrText xml:space="preserve"> HYPERLINK \l _Toc20902 </w:instrText>
      </w:r>
      <w:r>
        <w:fldChar w:fldCharType="separate"/>
      </w:r>
      <w:r>
        <w:rPr>
          <w:rFonts w:hint="eastAsia" w:ascii="黑体" w:hAnsi="黑体" w:eastAsia="黑体"/>
        </w:rPr>
        <w:t>二、2021年重点工作完成情况</w:t>
      </w:r>
      <w:r>
        <w:tab/>
      </w:r>
      <w:r>
        <w:fldChar w:fldCharType="begin"/>
      </w:r>
      <w:r>
        <w:instrText xml:space="preserve"> PAGEREF _Toc20902 \h </w:instrText>
      </w:r>
      <w:r>
        <w:fldChar w:fldCharType="separate"/>
      </w:r>
      <w:r>
        <w:t>4</w:t>
      </w:r>
      <w:r>
        <w:fldChar w:fldCharType="end"/>
      </w:r>
      <w:r>
        <w:fldChar w:fldCharType="end"/>
      </w:r>
    </w:p>
    <w:p w14:paraId="76B725D5">
      <w:pPr>
        <w:pStyle w:val="10"/>
        <w:tabs>
          <w:tab w:val="right" w:leader="dot" w:pos="8306"/>
          <w:tab w:val="clear" w:pos="8296"/>
        </w:tabs>
        <w:jc w:val="both"/>
      </w:pPr>
      <w:r>
        <w:fldChar w:fldCharType="begin"/>
      </w:r>
      <w:r>
        <w:instrText xml:space="preserve"> HYPERLINK \l _Toc8301 </w:instrText>
      </w:r>
      <w:r>
        <w:fldChar w:fldCharType="separate"/>
      </w:r>
      <w:r>
        <w:rPr>
          <w:rFonts w:hint="eastAsia" w:ascii="黑体" w:hAnsi="黑体" w:eastAsia="黑体"/>
        </w:rPr>
        <w:t>第二部分 2021年度</w:t>
      </w:r>
      <w:r>
        <w:rPr>
          <w:rFonts w:hint="eastAsia" w:ascii="黑体" w:hAnsi="黑体" w:eastAsia="黑体"/>
          <w:bCs/>
        </w:rPr>
        <w:t>单位决算情况说明</w:t>
      </w:r>
      <w:r>
        <w:tab/>
      </w:r>
      <w:r>
        <w:fldChar w:fldCharType="begin"/>
      </w:r>
      <w:r>
        <w:instrText xml:space="preserve"> PAGEREF _Toc8301 \h </w:instrText>
      </w:r>
      <w:r>
        <w:fldChar w:fldCharType="separate"/>
      </w:r>
      <w:r>
        <w:t>7</w:t>
      </w:r>
      <w:r>
        <w:fldChar w:fldCharType="end"/>
      </w:r>
      <w:r>
        <w:fldChar w:fldCharType="end"/>
      </w:r>
    </w:p>
    <w:p w14:paraId="066FCD67">
      <w:pPr>
        <w:pStyle w:val="11"/>
        <w:tabs>
          <w:tab w:val="right" w:leader="dot" w:pos="8306"/>
          <w:tab w:val="clear" w:pos="8296"/>
        </w:tabs>
      </w:pPr>
      <w:r>
        <w:fldChar w:fldCharType="begin"/>
      </w:r>
      <w:r>
        <w:instrText xml:space="preserve"> HYPERLINK \l _Toc9300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_Toc9300 \h </w:instrText>
      </w:r>
      <w:r>
        <w:fldChar w:fldCharType="separate"/>
      </w:r>
      <w:r>
        <w:t>7</w:t>
      </w:r>
      <w:r>
        <w:fldChar w:fldCharType="end"/>
      </w:r>
      <w:r>
        <w:fldChar w:fldCharType="end"/>
      </w:r>
    </w:p>
    <w:p w14:paraId="15321548">
      <w:pPr>
        <w:pStyle w:val="11"/>
        <w:tabs>
          <w:tab w:val="right" w:leader="dot" w:pos="8306"/>
          <w:tab w:val="clear" w:pos="8296"/>
        </w:tabs>
      </w:pPr>
      <w:r>
        <w:fldChar w:fldCharType="begin"/>
      </w:r>
      <w:r>
        <w:instrText xml:space="preserve"> HYPERLINK \l _Toc22360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_Toc22360 \h </w:instrText>
      </w:r>
      <w:r>
        <w:fldChar w:fldCharType="separate"/>
      </w:r>
      <w:r>
        <w:t>7</w:t>
      </w:r>
      <w:r>
        <w:fldChar w:fldCharType="end"/>
      </w:r>
      <w:r>
        <w:fldChar w:fldCharType="end"/>
      </w:r>
    </w:p>
    <w:p w14:paraId="72CA051C">
      <w:pPr>
        <w:pStyle w:val="11"/>
        <w:tabs>
          <w:tab w:val="right" w:leader="dot" w:pos="8306"/>
          <w:tab w:val="clear" w:pos="8296"/>
        </w:tabs>
        <w:ind w:left="0" w:leftChars="0" w:firstLine="420" w:firstLineChars="200"/>
      </w:pPr>
      <w:r>
        <w:fldChar w:fldCharType="begin"/>
      </w:r>
      <w:r>
        <w:instrText xml:space="preserve"> HYPERLINK \l _Toc27158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_Toc27158 \h </w:instrText>
      </w:r>
      <w:r>
        <w:fldChar w:fldCharType="separate"/>
      </w:r>
      <w:r>
        <w:t>8</w:t>
      </w:r>
      <w:r>
        <w:fldChar w:fldCharType="end"/>
      </w:r>
      <w:r>
        <w:fldChar w:fldCharType="end"/>
      </w:r>
    </w:p>
    <w:p w14:paraId="7C57507A">
      <w:pPr>
        <w:pStyle w:val="11"/>
        <w:tabs>
          <w:tab w:val="right" w:leader="dot" w:pos="8306"/>
          <w:tab w:val="clear" w:pos="8296"/>
        </w:tabs>
      </w:pPr>
      <w:r>
        <w:fldChar w:fldCharType="begin"/>
      </w:r>
      <w:r>
        <w:instrText xml:space="preserve"> HYPERLINK \l _Toc8173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_Toc8173 \h </w:instrText>
      </w:r>
      <w:r>
        <w:fldChar w:fldCharType="separate"/>
      </w:r>
      <w:r>
        <w:t>8</w:t>
      </w:r>
      <w:r>
        <w:fldChar w:fldCharType="end"/>
      </w:r>
      <w:r>
        <w:fldChar w:fldCharType="end"/>
      </w:r>
    </w:p>
    <w:p w14:paraId="6ED34B4A">
      <w:pPr>
        <w:pStyle w:val="11"/>
        <w:tabs>
          <w:tab w:val="right" w:leader="dot" w:pos="8306"/>
          <w:tab w:val="clear" w:pos="8296"/>
        </w:tabs>
      </w:pPr>
      <w:r>
        <w:fldChar w:fldCharType="begin"/>
      </w:r>
      <w:r>
        <w:instrText xml:space="preserve"> HYPERLINK \l _Toc14427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_Toc14427 \h </w:instrText>
      </w:r>
      <w:r>
        <w:fldChar w:fldCharType="separate"/>
      </w:r>
      <w:r>
        <w:t>8</w:t>
      </w:r>
      <w:r>
        <w:fldChar w:fldCharType="end"/>
      </w:r>
      <w:r>
        <w:fldChar w:fldCharType="end"/>
      </w:r>
    </w:p>
    <w:p w14:paraId="4D0DF317">
      <w:pPr>
        <w:pStyle w:val="11"/>
        <w:tabs>
          <w:tab w:val="right" w:leader="dot" w:pos="8306"/>
          <w:tab w:val="clear" w:pos="8296"/>
        </w:tabs>
      </w:pPr>
      <w:r>
        <w:fldChar w:fldCharType="begin"/>
      </w:r>
      <w:r>
        <w:instrText xml:space="preserve"> HYPERLINK \l _Toc28349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_Toc28349 \h </w:instrText>
      </w:r>
      <w:r>
        <w:fldChar w:fldCharType="separate"/>
      </w:r>
      <w:r>
        <w:t>9</w:t>
      </w:r>
      <w:r>
        <w:fldChar w:fldCharType="end"/>
      </w:r>
      <w:r>
        <w:fldChar w:fldCharType="end"/>
      </w:r>
    </w:p>
    <w:p w14:paraId="2824E660">
      <w:pPr>
        <w:pStyle w:val="11"/>
        <w:tabs>
          <w:tab w:val="right" w:leader="dot" w:pos="8306"/>
          <w:tab w:val="clear" w:pos="8296"/>
        </w:tabs>
      </w:pPr>
      <w:r>
        <w:fldChar w:fldCharType="begin"/>
      </w:r>
      <w:r>
        <w:instrText xml:space="preserve"> HYPERLINK \l _Toc29190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_Toc29190 \h </w:instrText>
      </w:r>
      <w:r>
        <w:fldChar w:fldCharType="separate"/>
      </w:r>
      <w:r>
        <w:t>9</w:t>
      </w:r>
      <w:r>
        <w:fldChar w:fldCharType="end"/>
      </w:r>
      <w:r>
        <w:fldChar w:fldCharType="end"/>
      </w:r>
    </w:p>
    <w:p w14:paraId="7AF74B5D">
      <w:pPr>
        <w:pStyle w:val="11"/>
        <w:tabs>
          <w:tab w:val="right" w:leader="dot" w:pos="8306"/>
          <w:tab w:val="clear" w:pos="8296"/>
        </w:tabs>
      </w:pPr>
      <w:r>
        <w:fldChar w:fldCharType="begin"/>
      </w:r>
      <w:r>
        <w:instrText xml:space="preserve"> HYPERLINK \l _Toc17548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_Toc17548 \h </w:instrText>
      </w:r>
      <w:r>
        <w:fldChar w:fldCharType="separate"/>
      </w:r>
      <w:r>
        <w:t>10</w:t>
      </w:r>
      <w:r>
        <w:fldChar w:fldCharType="end"/>
      </w:r>
      <w:r>
        <w:fldChar w:fldCharType="end"/>
      </w:r>
    </w:p>
    <w:p w14:paraId="115315DB">
      <w:pPr>
        <w:pStyle w:val="11"/>
        <w:tabs>
          <w:tab w:val="right" w:leader="dot" w:pos="8306"/>
          <w:tab w:val="clear" w:pos="8296"/>
        </w:tabs>
      </w:pPr>
      <w:r>
        <w:fldChar w:fldCharType="begin"/>
      </w:r>
      <w:r>
        <w:instrText xml:space="preserve"> HYPERLINK \l _Toc2250 </w:instrText>
      </w:r>
      <w:r>
        <w:fldChar w:fldCharType="separate"/>
      </w:r>
      <w:r>
        <w:rPr>
          <w:rFonts w:hint="eastAsia" w:ascii="黑体" w:hAnsi="黑体" w:eastAsia="黑体"/>
        </w:rPr>
        <w:t>九、 国有资本经营预算支出决算情况说明</w:t>
      </w:r>
      <w:r>
        <w:tab/>
      </w:r>
      <w:r>
        <w:fldChar w:fldCharType="begin"/>
      </w:r>
      <w:r>
        <w:instrText xml:space="preserve"> PAGEREF _Toc2250 \h </w:instrText>
      </w:r>
      <w:r>
        <w:fldChar w:fldCharType="separate"/>
      </w:r>
      <w:r>
        <w:t>10</w:t>
      </w:r>
      <w:r>
        <w:fldChar w:fldCharType="end"/>
      </w:r>
      <w:r>
        <w:fldChar w:fldCharType="end"/>
      </w:r>
    </w:p>
    <w:p w14:paraId="4494A122">
      <w:pPr>
        <w:pStyle w:val="11"/>
        <w:tabs>
          <w:tab w:val="right" w:leader="dot" w:pos="8306"/>
          <w:tab w:val="clear" w:pos="8296"/>
        </w:tabs>
      </w:pPr>
      <w:r>
        <w:fldChar w:fldCharType="begin"/>
      </w:r>
      <w:r>
        <w:instrText xml:space="preserve"> HYPERLINK \l _Toc21966 </w:instrText>
      </w:r>
      <w:r>
        <w:fldChar w:fldCharType="separate"/>
      </w:r>
      <w:r>
        <w:rPr>
          <w:rFonts w:hint="eastAsia" w:ascii="黑体" w:hAnsi="黑体" w:eastAsia="黑体"/>
        </w:rPr>
        <w:t>十、 其他重要事项的情况说明</w:t>
      </w:r>
      <w:r>
        <w:tab/>
      </w:r>
      <w:r>
        <w:fldChar w:fldCharType="begin"/>
      </w:r>
      <w:r>
        <w:instrText xml:space="preserve"> PAGEREF _Toc21966 \h </w:instrText>
      </w:r>
      <w:r>
        <w:fldChar w:fldCharType="separate"/>
      </w:r>
      <w:r>
        <w:t>10</w:t>
      </w:r>
      <w:r>
        <w:fldChar w:fldCharType="end"/>
      </w:r>
      <w:r>
        <w:fldChar w:fldCharType="end"/>
      </w:r>
    </w:p>
    <w:p w14:paraId="1B9ED5A5">
      <w:pPr>
        <w:pStyle w:val="10"/>
        <w:tabs>
          <w:tab w:val="right" w:leader="dot" w:pos="8306"/>
          <w:tab w:val="clear" w:pos="8296"/>
        </w:tabs>
      </w:pPr>
      <w:r>
        <w:fldChar w:fldCharType="begin"/>
      </w:r>
      <w:r>
        <w:instrText xml:space="preserve"> HYPERLINK \l _Toc31232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_Toc31232 \h </w:instrText>
      </w:r>
      <w:r>
        <w:fldChar w:fldCharType="separate"/>
      </w:r>
      <w:r>
        <w:t>12</w:t>
      </w:r>
      <w:r>
        <w:fldChar w:fldCharType="end"/>
      </w:r>
      <w:r>
        <w:fldChar w:fldCharType="end"/>
      </w:r>
    </w:p>
    <w:p w14:paraId="2A828FC3">
      <w:pPr>
        <w:pStyle w:val="10"/>
        <w:tabs>
          <w:tab w:val="right" w:leader="dot" w:pos="8306"/>
          <w:tab w:val="clear" w:pos="8296"/>
        </w:tabs>
      </w:pPr>
      <w:r>
        <w:fldChar w:fldCharType="begin"/>
      </w:r>
      <w:r>
        <w:instrText xml:space="preserve"> HYPERLINK \l _Toc1612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_Toc1612 \h </w:instrText>
      </w:r>
      <w:r>
        <w:fldChar w:fldCharType="separate"/>
      </w:r>
      <w:r>
        <w:t>13</w:t>
      </w:r>
      <w:r>
        <w:fldChar w:fldCharType="end"/>
      </w:r>
      <w:r>
        <w:fldChar w:fldCharType="end"/>
      </w:r>
    </w:p>
    <w:p w14:paraId="725183DB">
      <w:pPr>
        <w:pStyle w:val="10"/>
        <w:tabs>
          <w:tab w:val="right" w:leader="dot" w:pos="8306"/>
          <w:tab w:val="clear" w:pos="8296"/>
        </w:tabs>
      </w:pPr>
      <w:r>
        <w:fldChar w:fldCharType="begin"/>
      </w:r>
      <w:r>
        <w:instrText xml:space="preserve"> HYPERLINK \l _Toc1825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_Toc1825 \h </w:instrText>
      </w:r>
      <w:r>
        <w:fldChar w:fldCharType="separate"/>
      </w:r>
      <w:r>
        <w:t>14</w:t>
      </w:r>
      <w:r>
        <w:fldChar w:fldCharType="end"/>
      </w:r>
      <w:r>
        <w:fldChar w:fldCharType="end"/>
      </w:r>
    </w:p>
    <w:p w14:paraId="73150593">
      <w:pPr>
        <w:pStyle w:val="11"/>
        <w:tabs>
          <w:tab w:val="right" w:leader="dot" w:pos="8306"/>
          <w:tab w:val="clear" w:pos="8296"/>
        </w:tabs>
      </w:pPr>
      <w:r>
        <w:fldChar w:fldCharType="begin"/>
      </w:r>
      <w:r>
        <w:instrText xml:space="preserve"> HYPERLINK \l _Toc20229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_Toc20229 \h </w:instrText>
      </w:r>
      <w:r>
        <w:fldChar w:fldCharType="separate"/>
      </w:r>
      <w:r>
        <w:t>14</w:t>
      </w:r>
      <w:r>
        <w:fldChar w:fldCharType="end"/>
      </w:r>
      <w:r>
        <w:fldChar w:fldCharType="end"/>
      </w:r>
    </w:p>
    <w:p w14:paraId="7440B76C">
      <w:pPr>
        <w:pStyle w:val="11"/>
        <w:tabs>
          <w:tab w:val="right" w:leader="dot" w:pos="8306"/>
          <w:tab w:val="clear" w:pos="8296"/>
        </w:tabs>
      </w:pPr>
      <w:r>
        <w:fldChar w:fldCharType="begin"/>
      </w:r>
      <w:r>
        <w:instrText xml:space="preserve"> HYPERLINK \l _Toc19371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_Toc19371 \h </w:instrText>
      </w:r>
      <w:r>
        <w:fldChar w:fldCharType="separate"/>
      </w:r>
      <w:r>
        <w:t>14</w:t>
      </w:r>
      <w:r>
        <w:fldChar w:fldCharType="end"/>
      </w:r>
      <w:r>
        <w:fldChar w:fldCharType="end"/>
      </w:r>
    </w:p>
    <w:p w14:paraId="4CCD5E56">
      <w:pPr>
        <w:pStyle w:val="11"/>
        <w:tabs>
          <w:tab w:val="right" w:leader="dot" w:pos="8306"/>
          <w:tab w:val="clear" w:pos="8296"/>
        </w:tabs>
      </w:pPr>
      <w:r>
        <w:fldChar w:fldCharType="begin"/>
      </w:r>
      <w:r>
        <w:instrText xml:space="preserve"> HYPERLINK \l _Toc26424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_Toc26424 \h </w:instrText>
      </w:r>
      <w:r>
        <w:fldChar w:fldCharType="separate"/>
      </w:r>
      <w:r>
        <w:t>14</w:t>
      </w:r>
      <w:r>
        <w:fldChar w:fldCharType="end"/>
      </w:r>
      <w:r>
        <w:fldChar w:fldCharType="end"/>
      </w:r>
    </w:p>
    <w:p w14:paraId="230E6F72">
      <w:pPr>
        <w:pStyle w:val="11"/>
        <w:tabs>
          <w:tab w:val="right" w:leader="dot" w:pos="8306"/>
          <w:tab w:val="clear" w:pos="8296"/>
        </w:tabs>
      </w:pPr>
      <w:r>
        <w:fldChar w:fldCharType="begin"/>
      </w:r>
      <w:r>
        <w:instrText xml:space="preserve"> HYPERLINK \l _Toc29897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_Toc29897 \h </w:instrText>
      </w:r>
      <w:r>
        <w:fldChar w:fldCharType="separate"/>
      </w:r>
      <w:r>
        <w:t>14</w:t>
      </w:r>
      <w:r>
        <w:fldChar w:fldCharType="end"/>
      </w:r>
      <w:r>
        <w:fldChar w:fldCharType="end"/>
      </w:r>
    </w:p>
    <w:p w14:paraId="00D131D9">
      <w:pPr>
        <w:pStyle w:val="11"/>
        <w:tabs>
          <w:tab w:val="right" w:leader="dot" w:pos="8306"/>
          <w:tab w:val="clear" w:pos="8296"/>
        </w:tabs>
      </w:pPr>
      <w:r>
        <w:fldChar w:fldCharType="begin"/>
      </w:r>
      <w:r>
        <w:instrText xml:space="preserve"> HYPERLINK \l _Toc11614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_Toc11614 \h </w:instrText>
      </w:r>
      <w:r>
        <w:fldChar w:fldCharType="separate"/>
      </w:r>
      <w:r>
        <w:t>14</w:t>
      </w:r>
      <w:r>
        <w:fldChar w:fldCharType="end"/>
      </w:r>
      <w:r>
        <w:fldChar w:fldCharType="end"/>
      </w:r>
    </w:p>
    <w:p w14:paraId="77787B20">
      <w:pPr>
        <w:pStyle w:val="11"/>
        <w:tabs>
          <w:tab w:val="right" w:leader="dot" w:pos="8306"/>
          <w:tab w:val="clear" w:pos="8296"/>
        </w:tabs>
      </w:pPr>
      <w:r>
        <w:fldChar w:fldCharType="begin"/>
      </w:r>
      <w:r>
        <w:instrText xml:space="preserve"> HYPERLINK \l _Toc6644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_Toc6644 \h </w:instrText>
      </w:r>
      <w:r>
        <w:fldChar w:fldCharType="separate"/>
      </w:r>
      <w:r>
        <w:t>14</w:t>
      </w:r>
      <w:r>
        <w:fldChar w:fldCharType="end"/>
      </w:r>
      <w:r>
        <w:fldChar w:fldCharType="end"/>
      </w:r>
    </w:p>
    <w:p w14:paraId="1AB1A4FE">
      <w:pPr>
        <w:pStyle w:val="11"/>
        <w:tabs>
          <w:tab w:val="right" w:leader="dot" w:pos="8306"/>
          <w:tab w:val="clear" w:pos="8296"/>
        </w:tabs>
      </w:pPr>
      <w:r>
        <w:fldChar w:fldCharType="begin"/>
      </w:r>
      <w:r>
        <w:instrText xml:space="preserve"> HYPERLINK \l _Toc8864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_Toc8864 \h </w:instrText>
      </w:r>
      <w:r>
        <w:fldChar w:fldCharType="separate"/>
      </w:r>
      <w:r>
        <w:t>14</w:t>
      </w:r>
      <w:r>
        <w:fldChar w:fldCharType="end"/>
      </w:r>
      <w:r>
        <w:fldChar w:fldCharType="end"/>
      </w:r>
    </w:p>
    <w:p w14:paraId="593C6500">
      <w:pPr>
        <w:pStyle w:val="11"/>
        <w:tabs>
          <w:tab w:val="right" w:leader="dot" w:pos="8306"/>
          <w:tab w:val="clear" w:pos="8296"/>
        </w:tabs>
      </w:pPr>
      <w:r>
        <w:fldChar w:fldCharType="begin"/>
      </w:r>
      <w:r>
        <w:instrText xml:space="preserve"> HYPERLINK \l _Toc10496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_Toc10496 \h </w:instrText>
      </w:r>
      <w:r>
        <w:fldChar w:fldCharType="separate"/>
      </w:r>
      <w:r>
        <w:t>14</w:t>
      </w:r>
      <w:r>
        <w:fldChar w:fldCharType="end"/>
      </w:r>
      <w:r>
        <w:fldChar w:fldCharType="end"/>
      </w:r>
    </w:p>
    <w:p w14:paraId="03304785">
      <w:pPr>
        <w:pStyle w:val="11"/>
        <w:tabs>
          <w:tab w:val="right" w:leader="dot" w:pos="8306"/>
          <w:tab w:val="clear" w:pos="8296"/>
        </w:tabs>
      </w:pPr>
      <w:r>
        <w:fldChar w:fldCharType="begin"/>
      </w:r>
      <w:r>
        <w:instrText xml:space="preserve"> HYPERLINK \l _Toc20904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_Toc20904 \h </w:instrText>
      </w:r>
      <w:r>
        <w:fldChar w:fldCharType="separate"/>
      </w:r>
      <w:r>
        <w:t>14</w:t>
      </w:r>
      <w:r>
        <w:fldChar w:fldCharType="end"/>
      </w:r>
      <w:r>
        <w:fldChar w:fldCharType="end"/>
      </w:r>
    </w:p>
    <w:p w14:paraId="2DE55291">
      <w:pPr>
        <w:pStyle w:val="11"/>
        <w:tabs>
          <w:tab w:val="right" w:leader="dot" w:pos="8306"/>
          <w:tab w:val="clear" w:pos="8296"/>
        </w:tabs>
      </w:pPr>
      <w:r>
        <w:fldChar w:fldCharType="begin"/>
      </w:r>
      <w:r>
        <w:instrText xml:space="preserve"> HYPERLINK \l _Toc3464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_Toc3464 \h </w:instrText>
      </w:r>
      <w:r>
        <w:fldChar w:fldCharType="separate"/>
      </w:r>
      <w:r>
        <w:t>14</w:t>
      </w:r>
      <w:r>
        <w:fldChar w:fldCharType="end"/>
      </w:r>
      <w:r>
        <w:fldChar w:fldCharType="end"/>
      </w:r>
    </w:p>
    <w:p w14:paraId="183D93A0">
      <w:pPr>
        <w:pStyle w:val="11"/>
        <w:tabs>
          <w:tab w:val="right" w:leader="dot" w:pos="8306"/>
          <w:tab w:val="clear" w:pos="8296"/>
        </w:tabs>
      </w:pPr>
      <w:r>
        <w:fldChar w:fldCharType="begin"/>
      </w:r>
      <w:r>
        <w:instrText xml:space="preserve"> HYPERLINK \l _Toc15572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_Toc15572 \h </w:instrText>
      </w:r>
      <w:r>
        <w:fldChar w:fldCharType="separate"/>
      </w:r>
      <w:r>
        <w:t>14</w:t>
      </w:r>
      <w:r>
        <w:fldChar w:fldCharType="end"/>
      </w:r>
      <w:r>
        <w:fldChar w:fldCharType="end"/>
      </w:r>
    </w:p>
    <w:p w14:paraId="78224165">
      <w:pPr>
        <w:pStyle w:val="11"/>
        <w:tabs>
          <w:tab w:val="right" w:leader="dot" w:pos="8306"/>
          <w:tab w:val="clear" w:pos="8296"/>
        </w:tabs>
      </w:pPr>
      <w:r>
        <w:fldChar w:fldCharType="begin"/>
      </w:r>
      <w:r>
        <w:instrText xml:space="preserve"> HYPERLINK \l _Toc14552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_Toc14552 \h </w:instrText>
      </w:r>
      <w:r>
        <w:fldChar w:fldCharType="separate"/>
      </w:r>
      <w:r>
        <w:t>14</w:t>
      </w:r>
      <w:r>
        <w:fldChar w:fldCharType="end"/>
      </w:r>
      <w:r>
        <w:fldChar w:fldCharType="end"/>
      </w:r>
    </w:p>
    <w:p w14:paraId="65A4F9C6">
      <w:pPr>
        <w:pStyle w:val="11"/>
        <w:tabs>
          <w:tab w:val="right" w:leader="dot" w:pos="8306"/>
          <w:tab w:val="clear" w:pos="8296"/>
        </w:tabs>
      </w:pPr>
      <w:r>
        <w:fldChar w:fldCharType="begin"/>
      </w:r>
      <w:r>
        <w:instrText xml:space="preserve"> HYPERLINK \l _Toc20226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_Toc20226 \h </w:instrText>
      </w:r>
      <w:r>
        <w:fldChar w:fldCharType="separate"/>
      </w:r>
      <w:r>
        <w:t>14</w:t>
      </w:r>
      <w:r>
        <w:fldChar w:fldCharType="end"/>
      </w:r>
      <w:r>
        <w:fldChar w:fldCharType="end"/>
      </w:r>
    </w:p>
    <w:p w14:paraId="6D20F88F">
      <w:pPr>
        <w:pStyle w:val="11"/>
        <w:tabs>
          <w:tab w:val="right" w:leader="dot" w:pos="8306"/>
          <w:tab w:val="clear" w:pos="8296"/>
        </w:tabs>
      </w:pPr>
      <w:r>
        <w:fldChar w:fldCharType="begin"/>
      </w:r>
      <w:r>
        <w:instrText xml:space="preserve"> HYPERLINK \l _Toc13848 </w:instrText>
      </w:r>
      <w:r>
        <w:fldChar w:fldCharType="separate"/>
      </w:r>
      <w:r>
        <w:rPr>
          <w:rFonts w:hint="eastAsia" w:ascii="仿宋" w:hAnsi="仿宋" w:eastAsia="仿宋"/>
          <w:bCs w:val="0"/>
        </w:rPr>
        <w:t>十四、国有资本经营预算财政拨款支出决算表</w:t>
      </w:r>
      <w:r>
        <w:tab/>
      </w:r>
      <w:r>
        <w:fldChar w:fldCharType="begin"/>
      </w:r>
      <w:r>
        <w:instrText xml:space="preserve"> PAGEREF _Toc13848 \h </w:instrText>
      </w:r>
      <w:r>
        <w:fldChar w:fldCharType="separate"/>
      </w:r>
      <w:r>
        <w:t>14</w:t>
      </w:r>
      <w:r>
        <w:fldChar w:fldCharType="end"/>
      </w:r>
      <w:r>
        <w:fldChar w:fldCharType="end"/>
      </w:r>
    </w:p>
    <w:p w14:paraId="5811A7A0">
      <w:r>
        <w:fldChar w:fldCharType="end"/>
      </w:r>
    </w:p>
    <w:p w14:paraId="427DAA8A">
      <w:pPr>
        <w:rPr>
          <w:rFonts w:hint="eastAsia" w:ascii="黑体" w:hAnsi="黑体" w:eastAsia="黑体"/>
          <w:b w:val="0"/>
        </w:rPr>
      </w:pPr>
      <w:bookmarkStart w:id="25" w:name="_Toc8699"/>
      <w:r>
        <w:rPr>
          <w:rFonts w:hint="eastAsia" w:ascii="黑体" w:hAnsi="黑体" w:eastAsia="黑体"/>
          <w:b w:val="0"/>
        </w:rPr>
        <w:br w:type="page"/>
      </w:r>
    </w:p>
    <w:p w14:paraId="6E7975E1">
      <w:pPr>
        <w:pStyle w:val="3"/>
        <w:jc w:val="center"/>
        <w:rPr>
          <w:rStyle w:val="24"/>
          <w:rFonts w:ascii="黑体" w:hAnsi="黑体" w:eastAsia="黑体"/>
          <w:b/>
          <w:bCs w:val="0"/>
        </w:rPr>
      </w:pPr>
      <w:bookmarkStart w:id="26" w:name="_Toc6701"/>
      <w:r>
        <w:rPr>
          <w:rFonts w:hint="eastAsia" w:ascii="黑体" w:hAnsi="黑体" w:eastAsia="黑体"/>
          <w:b w:val="0"/>
        </w:rPr>
        <w:t>第一部分 单位</w:t>
      </w:r>
      <w:r>
        <w:rPr>
          <w:rStyle w:val="24"/>
          <w:rFonts w:hint="eastAsia" w:ascii="黑体" w:hAnsi="黑体" w:eastAsia="黑体"/>
          <w:b w:val="0"/>
          <w:bCs w:val="0"/>
        </w:rPr>
        <w:t>概况</w:t>
      </w:r>
      <w:bookmarkEnd w:id="26"/>
    </w:p>
    <w:p w14:paraId="28E52ED6">
      <w:pPr>
        <w:pStyle w:val="4"/>
        <w:rPr>
          <w:rFonts w:ascii="仿宋" w:hAnsi="仿宋" w:eastAsia="仿宋" w:cs="Times New Roman"/>
          <w:b w:val="0"/>
          <w:bCs w:val="0"/>
        </w:rPr>
      </w:pPr>
    </w:p>
    <w:p w14:paraId="76456572">
      <w:pPr>
        <w:pStyle w:val="4"/>
        <w:numPr>
          <w:ilvl w:val="0"/>
          <w:numId w:val="1"/>
        </w:numPr>
        <w:rPr>
          <w:rFonts w:ascii="仿宋" w:hAnsi="仿宋" w:eastAsia="仿宋" w:cs="Times New Roman"/>
          <w:b w:val="0"/>
          <w:bCs w:val="0"/>
        </w:rPr>
      </w:pPr>
      <w:bookmarkStart w:id="27" w:name="_Toc4286"/>
      <w:r>
        <w:rPr>
          <w:rStyle w:val="25"/>
          <w:rFonts w:hint="eastAsia" w:ascii="黑体" w:hAnsi="黑体" w:eastAsia="黑体"/>
          <w:b w:val="0"/>
          <w:bCs w:val="0"/>
        </w:rPr>
        <w:t>单位职责</w:t>
      </w:r>
      <w:bookmarkEnd w:id="25"/>
      <w:bookmarkEnd w:id="27"/>
    </w:p>
    <w:p w14:paraId="41997EDB">
      <w:pPr>
        <w:pStyle w:val="4"/>
        <w:spacing w:before="0" w:after="0" w:line="600" w:lineRule="exact"/>
        <w:ind w:firstLine="838" w:firstLineChars="262"/>
        <w:rPr>
          <w:rFonts w:hint="eastAsia" w:ascii="仿宋" w:hAnsi="仿宋" w:eastAsia="仿宋" w:cs="Times New Roman"/>
          <w:b w:val="0"/>
          <w:bCs w:val="0"/>
        </w:rPr>
      </w:pPr>
      <w:bookmarkStart w:id="28" w:name="_Toc28268"/>
      <w:bookmarkStart w:id="29" w:name="_Toc22773"/>
      <w:bookmarkStart w:id="30" w:name="_Toc7815"/>
      <w:bookmarkStart w:id="31" w:name="_Toc21202"/>
      <w:r>
        <w:rPr>
          <w:rFonts w:hint="eastAsia" w:ascii="仿宋" w:hAnsi="仿宋" w:eastAsia="仿宋" w:cs="Times New Roman"/>
          <w:b w:val="0"/>
          <w:bCs w:val="0"/>
        </w:rPr>
        <w:t>遂宁市勘察测绘院隶属遂宁市自然资源和规划局下属公益二类事业单位。2016年经市编委批准，增挂遂宁市基础地理信息中心牌子。主要承担遂宁市的基础测绘任务，并为 遂宁市城市规划建设管理提供综合测绘服务。</w:t>
      </w:r>
      <w:bookmarkEnd w:id="28"/>
    </w:p>
    <w:p w14:paraId="4F625F25">
      <w:pPr>
        <w:pStyle w:val="4"/>
        <w:spacing w:before="0" w:after="0" w:line="600" w:lineRule="exact"/>
        <w:ind w:firstLine="838" w:firstLineChars="262"/>
        <w:rPr>
          <w:rFonts w:hint="eastAsia" w:ascii="仿宋" w:hAnsi="仿宋" w:eastAsia="仿宋" w:cs="Times New Roman"/>
          <w:b w:val="0"/>
          <w:bCs w:val="0"/>
        </w:rPr>
      </w:pPr>
      <w:bookmarkStart w:id="32" w:name="_Toc15793"/>
      <w:r>
        <w:rPr>
          <w:rFonts w:hint="eastAsia" w:ascii="仿宋" w:hAnsi="仿宋" w:eastAsia="仿宋" w:cs="Times New Roman"/>
          <w:b w:val="0"/>
          <w:bCs w:val="0"/>
        </w:rPr>
        <w:t>主要职能职责为 ：</w:t>
      </w:r>
      <w:bookmarkEnd w:id="29"/>
      <w:bookmarkEnd w:id="30"/>
      <w:bookmarkEnd w:id="31"/>
      <w:r>
        <w:rPr>
          <w:rFonts w:hint="eastAsia" w:ascii="仿宋" w:hAnsi="仿宋" w:eastAsia="仿宋" w:cs="Times New Roman"/>
          <w:b w:val="0"/>
          <w:bCs w:val="0"/>
        </w:rPr>
        <w:t>负责全市基础测绘编制与实施，基础地理信息整合生产与管理；负责全市涉及数字城市和基础地理信息系统数据库工作；负责市规划区域内各种建（构）筑物、规划道路、城市地下管线的放（验）线及竣工验收测量等工作；参与全市基础测绘产品的检查验收工作；负责全市测绘控制网及永久性测量标志；负责全市基础测绘成果档案管理;负责基础地理信息系统建设、维护、开发以及提供智慧城市、地理空间基础设施建设服务等方面工作。</w:t>
      </w:r>
      <w:bookmarkEnd w:id="32"/>
    </w:p>
    <w:p w14:paraId="625BF8AE">
      <w:pPr>
        <w:pStyle w:val="2"/>
        <w:numPr>
          <w:ilvl w:val="255"/>
          <w:numId w:val="0"/>
        </w:numPr>
        <w:spacing w:before="93" w:line="600" w:lineRule="exact"/>
        <w:ind w:firstLine="640" w:firstLineChars="200"/>
        <w:rPr>
          <w:sz w:val="32"/>
          <w:szCs w:val="28"/>
        </w:rPr>
      </w:pPr>
      <w:r>
        <w:rPr>
          <w:rFonts w:hint="eastAsia"/>
          <w:sz w:val="32"/>
          <w:szCs w:val="28"/>
        </w:rPr>
        <w:t>遂宁市勘察测绘院共设置9个内设机构，包括办公室、生产经营部、地理信息中心、质量检验部、技术创新中心、成果档案中心、测绘一队、测绘二队、测绘三队。</w:t>
      </w:r>
    </w:p>
    <w:p w14:paraId="3F8CEE23">
      <w:pPr>
        <w:pStyle w:val="4"/>
        <w:rPr>
          <w:rFonts w:ascii="黑体" w:hAnsi="黑体" w:eastAsia="黑体"/>
          <w:b w:val="0"/>
        </w:rPr>
      </w:pPr>
      <w:bookmarkStart w:id="33" w:name="_Toc20902"/>
      <w:bookmarkStart w:id="34" w:name="_Toc803"/>
      <w:r>
        <w:rPr>
          <w:rFonts w:hint="eastAsia" w:ascii="黑体" w:hAnsi="黑体" w:eastAsia="黑体"/>
          <w:b w:val="0"/>
        </w:rPr>
        <w:t>二、2021年重点工作</w:t>
      </w:r>
      <w:bookmarkEnd w:id="23"/>
      <w:bookmarkEnd w:id="24"/>
      <w:r>
        <w:rPr>
          <w:rFonts w:hint="eastAsia" w:ascii="黑体" w:hAnsi="黑体" w:eastAsia="黑体"/>
          <w:b w:val="0"/>
        </w:rPr>
        <w:t>完成情况</w:t>
      </w:r>
      <w:bookmarkEnd w:id="33"/>
      <w:bookmarkEnd w:id="34"/>
    </w:p>
    <w:p w14:paraId="3054E226">
      <w:pPr>
        <w:numPr>
          <w:ilvl w:val="0"/>
          <w:numId w:val="2"/>
        </w:numPr>
        <w:ind w:firstLine="643" w:firstLineChars="200"/>
        <w:rPr>
          <w:rFonts w:ascii="仿宋" w:hAnsi="仿宋" w:eastAsia="仿宋"/>
          <w:sz w:val="32"/>
          <w:szCs w:val="32"/>
        </w:rPr>
      </w:pPr>
      <w:r>
        <w:rPr>
          <w:rFonts w:hint="eastAsia" w:ascii="楷体_GB2312" w:hAnsi="楷体_GB2312" w:eastAsia="楷体_GB2312" w:cs="楷体_GB2312"/>
          <w:b/>
          <w:sz w:val="32"/>
          <w:szCs w:val="32"/>
          <w:lang w:eastAsia="zh-CN"/>
        </w:rPr>
        <w:t>完成基础</w:t>
      </w:r>
      <w:r>
        <w:rPr>
          <w:rFonts w:hint="eastAsia" w:ascii="楷体_GB2312" w:hAnsi="楷体_GB2312" w:eastAsia="楷体_GB2312" w:cs="楷体_GB2312"/>
          <w:b/>
          <w:sz w:val="32"/>
          <w:szCs w:val="32"/>
        </w:rPr>
        <w:t>测绘</w:t>
      </w:r>
      <w:r>
        <w:rPr>
          <w:rFonts w:hint="eastAsia" w:ascii="楷体_GB2312" w:hAnsi="楷体_GB2312" w:eastAsia="楷体_GB2312" w:cs="楷体_GB2312"/>
          <w:b/>
          <w:sz w:val="32"/>
          <w:szCs w:val="32"/>
          <w:lang w:eastAsia="zh-CN"/>
        </w:rPr>
        <w:t>成果管理，做好分发与应用服务。</w:t>
      </w:r>
      <w:r>
        <w:rPr>
          <w:rFonts w:hint="eastAsia" w:ascii="仿宋" w:hAnsi="仿宋" w:eastAsia="仿宋"/>
          <w:sz w:val="32"/>
          <w:szCs w:val="32"/>
          <w:lang w:eastAsia="zh-CN"/>
        </w:rPr>
        <w:t>收集整理各地会交的</w:t>
      </w:r>
      <w:r>
        <w:rPr>
          <w:rFonts w:hint="eastAsia" w:ascii="仿宋" w:hAnsi="仿宋" w:eastAsia="仿宋"/>
          <w:sz w:val="32"/>
          <w:szCs w:val="32"/>
        </w:rPr>
        <w:t>测绘地理信息成果，</w:t>
      </w:r>
      <w:r>
        <w:rPr>
          <w:rFonts w:hint="eastAsia" w:ascii="仿宋" w:hAnsi="仿宋" w:eastAsia="仿宋"/>
          <w:sz w:val="32"/>
          <w:szCs w:val="32"/>
          <w:lang w:eastAsia="zh-CN"/>
        </w:rPr>
        <w:t>建立成果档案并更新相应数据库。完成我</w:t>
      </w:r>
      <w:r>
        <w:rPr>
          <w:rFonts w:hint="eastAsia" w:ascii="仿宋" w:hAnsi="仿宋" w:eastAsia="仿宋"/>
          <w:sz w:val="32"/>
          <w:szCs w:val="32"/>
        </w:rPr>
        <w:t>市基础地理信息数据异地容灾备份工作</w:t>
      </w:r>
      <w:r>
        <w:rPr>
          <w:rFonts w:hint="eastAsia" w:ascii="仿宋" w:hAnsi="仿宋" w:eastAsia="仿宋"/>
          <w:sz w:val="32"/>
          <w:szCs w:val="32"/>
          <w:lang w:eastAsia="zh-CN"/>
        </w:rPr>
        <w:t>，全年按程序向市政法委、公安局、农业农村局、政务服务与大数据局等市级相关部门提供测绘地理信息数据</w:t>
      </w:r>
      <w:r>
        <w:rPr>
          <w:rFonts w:hint="eastAsia" w:ascii="仿宋" w:hAnsi="仿宋" w:eastAsia="仿宋"/>
          <w:sz w:val="32"/>
          <w:szCs w:val="32"/>
          <w:lang w:val="en-US" w:eastAsia="zh-CN"/>
        </w:rPr>
        <w:t>10余次；更新维护“天地图.遂宁”，确保平台稳定运行，持续提供地理信息公共服务</w:t>
      </w:r>
      <w:r>
        <w:rPr>
          <w:rFonts w:hint="eastAsia" w:ascii="仿宋" w:hAnsi="仿宋" w:eastAsia="仿宋"/>
          <w:sz w:val="32"/>
          <w:szCs w:val="32"/>
        </w:rPr>
        <w:t>。</w:t>
      </w:r>
    </w:p>
    <w:p w14:paraId="1396D1C7">
      <w:pPr>
        <w:numPr>
          <w:ilvl w:val="0"/>
          <w:numId w:val="2"/>
        </w:numPr>
        <w:ind w:firstLine="643" w:firstLineChars="200"/>
        <w:rPr>
          <w:rFonts w:ascii="仿宋" w:hAnsi="仿宋" w:eastAsia="仿宋"/>
          <w:sz w:val="32"/>
          <w:szCs w:val="32"/>
        </w:rPr>
      </w:pPr>
      <w:r>
        <w:rPr>
          <w:rFonts w:hint="eastAsia" w:ascii="楷体_GB2312" w:hAnsi="楷体_GB2312" w:eastAsia="楷体_GB2312" w:cs="楷体_GB2312"/>
          <w:b/>
          <w:sz w:val="32"/>
          <w:szCs w:val="32"/>
        </w:rPr>
        <w:t>为</w:t>
      </w:r>
      <w:r>
        <w:rPr>
          <w:rFonts w:hint="eastAsia" w:ascii="楷体_GB2312" w:hAnsi="楷体_GB2312" w:eastAsia="楷体_GB2312" w:cs="楷体_GB2312"/>
          <w:b/>
          <w:sz w:val="32"/>
          <w:szCs w:val="32"/>
          <w:lang w:eastAsia="zh-CN"/>
        </w:rPr>
        <w:t>我市测绘地理信息行业管理提供</w:t>
      </w:r>
      <w:r>
        <w:rPr>
          <w:rFonts w:hint="eastAsia" w:ascii="楷体_GB2312" w:hAnsi="楷体_GB2312" w:eastAsia="楷体_GB2312" w:cs="楷体_GB2312"/>
          <w:b/>
          <w:sz w:val="32"/>
          <w:szCs w:val="32"/>
        </w:rPr>
        <w:t>技术</w:t>
      </w:r>
      <w:r>
        <w:rPr>
          <w:rFonts w:hint="eastAsia" w:ascii="楷体_GB2312" w:hAnsi="楷体_GB2312" w:eastAsia="楷体_GB2312" w:cs="楷体_GB2312"/>
          <w:b/>
          <w:sz w:val="32"/>
          <w:szCs w:val="32"/>
          <w:lang w:eastAsia="zh-CN"/>
        </w:rPr>
        <w:t>支撑。</w:t>
      </w:r>
      <w:r>
        <w:rPr>
          <w:rFonts w:hint="eastAsia" w:ascii="仿宋" w:hAnsi="仿宋" w:eastAsia="仿宋" w:cs="仿宋_GB2312"/>
          <w:sz w:val="32"/>
          <w:szCs w:val="32"/>
          <w:lang w:eastAsia="zh-CN"/>
        </w:rPr>
        <w:t>全年按照主管局安排，相继开展</w:t>
      </w:r>
      <w:r>
        <w:rPr>
          <w:rFonts w:hint="eastAsia" w:ascii="仿宋" w:hAnsi="仿宋" w:eastAsia="仿宋" w:cs="仿宋_GB2312"/>
          <w:sz w:val="32"/>
          <w:szCs w:val="32"/>
        </w:rPr>
        <w:t>“多测合一”</w:t>
      </w:r>
      <w:r>
        <w:rPr>
          <w:rFonts w:hint="eastAsia" w:ascii="仿宋" w:hAnsi="仿宋" w:eastAsia="仿宋" w:cs="仿宋_GB2312"/>
          <w:sz w:val="32"/>
          <w:szCs w:val="32"/>
          <w:lang w:eastAsia="zh-CN"/>
        </w:rPr>
        <w:t>成果</w:t>
      </w:r>
      <w:r>
        <w:rPr>
          <w:rFonts w:hint="eastAsia" w:ascii="仿宋" w:hAnsi="仿宋" w:eastAsia="仿宋" w:cs="仿宋_GB2312"/>
          <w:sz w:val="32"/>
          <w:szCs w:val="32"/>
        </w:rPr>
        <w:t>质量检查</w:t>
      </w:r>
      <w:r>
        <w:rPr>
          <w:rFonts w:hint="eastAsia" w:ascii="仿宋" w:hAnsi="仿宋" w:eastAsia="仿宋" w:cs="仿宋_GB2312"/>
          <w:sz w:val="32"/>
          <w:szCs w:val="32"/>
          <w:lang w:eastAsia="zh-CN"/>
        </w:rPr>
        <w:t>，</w:t>
      </w:r>
      <w:r>
        <w:rPr>
          <w:rFonts w:hint="eastAsia" w:ascii="仿宋" w:hAnsi="仿宋" w:eastAsia="仿宋" w:cs="仿宋_GB2312"/>
          <w:sz w:val="32"/>
          <w:szCs w:val="32"/>
        </w:rPr>
        <w:t>出版、展示、登载、生产、进口、出口地图和附着地图图形产</w:t>
      </w:r>
      <w:r>
        <w:rPr>
          <w:rFonts w:hint="eastAsia" w:ascii="仿宋" w:hAnsi="仿宋" w:eastAsia="仿宋"/>
          <w:sz w:val="32"/>
          <w:szCs w:val="32"/>
        </w:rPr>
        <w:t>品的审核工作</w:t>
      </w:r>
      <w:r>
        <w:rPr>
          <w:rFonts w:hint="eastAsia" w:ascii="仿宋" w:hAnsi="仿宋" w:eastAsia="仿宋"/>
          <w:sz w:val="32"/>
          <w:szCs w:val="32"/>
          <w:lang w:eastAsia="zh-CN"/>
        </w:rPr>
        <w:t>等工作。协助开展行业保密检查、资质巡查等常规行业监管工作。</w:t>
      </w:r>
    </w:p>
    <w:p w14:paraId="6B87A71E">
      <w:pPr>
        <w:numPr>
          <w:ilvl w:val="0"/>
          <w:numId w:val="2"/>
        </w:numPr>
        <w:ind w:firstLine="643" w:firstLineChars="200"/>
        <w:rPr>
          <w:rFonts w:ascii="仿宋" w:hAnsi="仿宋" w:eastAsia="仿宋"/>
          <w:sz w:val="32"/>
          <w:szCs w:val="32"/>
        </w:rPr>
      </w:pPr>
      <w:r>
        <w:rPr>
          <w:rFonts w:hint="eastAsia" w:ascii="楷体_GB2312" w:hAnsi="楷体_GB2312" w:eastAsia="楷体_GB2312" w:cs="楷体_GB2312"/>
          <w:b/>
          <w:sz w:val="32"/>
          <w:szCs w:val="32"/>
          <w:lang w:eastAsia="zh-CN"/>
        </w:rPr>
        <w:t>不断</w:t>
      </w:r>
      <w:r>
        <w:rPr>
          <w:rFonts w:hint="eastAsia" w:ascii="楷体_GB2312" w:hAnsi="楷体_GB2312" w:eastAsia="楷体_GB2312" w:cs="楷体_GB2312"/>
          <w:b/>
          <w:sz w:val="32"/>
          <w:szCs w:val="32"/>
          <w:lang w:val="en-US" w:eastAsia="zh-CN"/>
        </w:rPr>
        <w:t>提升</w:t>
      </w:r>
      <w:r>
        <w:rPr>
          <w:rFonts w:hint="eastAsia" w:ascii="楷体_GB2312" w:hAnsi="楷体_GB2312" w:eastAsia="楷体_GB2312" w:cs="楷体_GB2312"/>
          <w:b/>
          <w:sz w:val="32"/>
          <w:szCs w:val="32"/>
          <w:lang w:eastAsia="zh-CN"/>
        </w:rPr>
        <w:t>测绘地理信息技术能力和服务水平，为国土空间规划和自然资源管理提供技术和数据支撑。</w:t>
      </w:r>
      <w:r>
        <w:rPr>
          <w:rFonts w:hint="eastAsia" w:ascii="仿宋" w:hAnsi="仿宋" w:eastAsia="仿宋" w:cs="仿宋_GB2312"/>
          <w:sz w:val="32"/>
          <w:szCs w:val="32"/>
        </w:rPr>
        <w:t>完成2021年度市</w:t>
      </w:r>
      <w:r>
        <w:rPr>
          <w:rFonts w:hint="eastAsia" w:ascii="仿宋" w:hAnsi="仿宋" w:eastAsia="仿宋" w:cs="仿宋_GB2312"/>
          <w:sz w:val="32"/>
          <w:szCs w:val="32"/>
          <w:lang w:eastAsia="zh-CN"/>
        </w:rPr>
        <w:t>中心</w:t>
      </w:r>
      <w:r>
        <w:rPr>
          <w:rFonts w:hint="eastAsia" w:ascii="仿宋" w:hAnsi="仿宋" w:eastAsia="仿宋" w:cs="仿宋_GB2312"/>
          <w:sz w:val="32"/>
          <w:szCs w:val="32"/>
        </w:rPr>
        <w:t>城区地面沉降监测工作</w:t>
      </w:r>
      <w:r>
        <w:rPr>
          <w:rFonts w:hint="eastAsia" w:ascii="仿宋" w:hAnsi="仿宋" w:eastAsia="仿宋" w:cs="仿宋_GB2312"/>
          <w:sz w:val="32"/>
          <w:szCs w:val="32"/>
          <w:lang w:eastAsia="zh-CN"/>
        </w:rPr>
        <w:t>，</w:t>
      </w:r>
      <w:r>
        <w:rPr>
          <w:rFonts w:hint="eastAsia" w:ascii="仿宋" w:hAnsi="仿宋" w:eastAsia="仿宋"/>
          <w:b w:val="0"/>
          <w:bCs w:val="0"/>
          <w:sz w:val="32"/>
          <w:szCs w:val="32"/>
          <w:lang w:eastAsia="zh-CN"/>
        </w:rPr>
        <w:t>科学准确获取</w:t>
      </w:r>
      <w:r>
        <w:rPr>
          <w:rFonts w:hint="eastAsia" w:ascii="仿宋" w:hAnsi="仿宋" w:eastAsia="仿宋" w:cs="仿宋_GB2312"/>
          <w:sz w:val="32"/>
          <w:szCs w:val="32"/>
        </w:rPr>
        <w:t>地面沉降量，为</w:t>
      </w:r>
      <w:r>
        <w:rPr>
          <w:rFonts w:hint="eastAsia" w:ascii="仿宋" w:hAnsi="仿宋" w:eastAsia="仿宋" w:cs="仿宋_GB2312"/>
          <w:sz w:val="32"/>
          <w:szCs w:val="32"/>
          <w:lang w:eastAsia="zh-CN"/>
        </w:rPr>
        <w:t>国土空间规划、</w:t>
      </w:r>
      <w:r>
        <w:rPr>
          <w:rFonts w:hint="eastAsia" w:ascii="仿宋" w:hAnsi="仿宋" w:eastAsia="仿宋" w:cs="仿宋_GB2312"/>
          <w:sz w:val="32"/>
          <w:szCs w:val="32"/>
        </w:rPr>
        <w:t>现状评估</w:t>
      </w:r>
      <w:r>
        <w:rPr>
          <w:rFonts w:hint="eastAsia" w:ascii="仿宋" w:hAnsi="仿宋" w:eastAsia="仿宋" w:cs="仿宋_GB2312"/>
          <w:sz w:val="32"/>
          <w:szCs w:val="32"/>
          <w:lang w:eastAsia="zh-CN"/>
        </w:rPr>
        <w:t>以及</w:t>
      </w:r>
      <w:r>
        <w:rPr>
          <w:rFonts w:hint="eastAsia" w:ascii="仿宋" w:hAnsi="仿宋" w:eastAsia="仿宋" w:cs="仿宋_GB2312"/>
          <w:sz w:val="32"/>
          <w:szCs w:val="32"/>
        </w:rPr>
        <w:t>地面沉降防治</w:t>
      </w:r>
      <w:r>
        <w:rPr>
          <w:rFonts w:hint="eastAsia" w:ascii="仿宋" w:hAnsi="仿宋" w:eastAsia="仿宋" w:cs="仿宋_GB2312"/>
          <w:sz w:val="32"/>
          <w:szCs w:val="32"/>
          <w:lang w:eastAsia="zh-CN"/>
        </w:rPr>
        <w:t>等</w:t>
      </w:r>
      <w:r>
        <w:rPr>
          <w:rFonts w:hint="eastAsia" w:ascii="仿宋" w:hAnsi="仿宋" w:eastAsia="仿宋" w:cs="仿宋_GB2312"/>
          <w:sz w:val="32"/>
          <w:szCs w:val="32"/>
        </w:rPr>
        <w:t>提供</w:t>
      </w:r>
      <w:r>
        <w:rPr>
          <w:rFonts w:hint="eastAsia" w:ascii="仿宋" w:hAnsi="仿宋" w:eastAsia="仿宋" w:cs="仿宋_GB2312"/>
          <w:sz w:val="32"/>
          <w:szCs w:val="32"/>
          <w:lang w:eastAsia="zh-CN"/>
        </w:rPr>
        <w:t>了</w:t>
      </w:r>
      <w:r>
        <w:rPr>
          <w:rFonts w:hint="eastAsia" w:ascii="仿宋" w:hAnsi="仿宋" w:eastAsia="仿宋" w:cs="仿宋_GB2312"/>
          <w:sz w:val="32"/>
          <w:szCs w:val="32"/>
        </w:rPr>
        <w:t>科学依据</w:t>
      </w:r>
      <w:r>
        <w:rPr>
          <w:rFonts w:hint="eastAsia" w:ascii="仿宋" w:hAnsi="仿宋" w:eastAsia="仿宋" w:cs="仿宋_GB2312"/>
          <w:sz w:val="32"/>
          <w:szCs w:val="32"/>
          <w:lang w:eastAsia="zh-CN"/>
        </w:rPr>
        <w:t>。完成中心城区国家基本比例尺地形图修测</w:t>
      </w:r>
      <w:r>
        <w:rPr>
          <w:rFonts w:hint="eastAsia" w:ascii="仿宋" w:hAnsi="仿宋" w:eastAsia="仿宋" w:cs="仿宋_GB2312"/>
          <w:sz w:val="32"/>
          <w:szCs w:val="32"/>
          <w:lang w:val="en-US" w:eastAsia="zh-CN"/>
        </w:rPr>
        <w:t>50平方公里，为城市规划、建设、管理提供基础地理空间数据本底。全年向主管局等相关部门提供数据空间坐标系转换数百次，持续推进我市国土空间和自然资源数据向统一的空间定位基准集中</w:t>
      </w:r>
      <w:r>
        <w:rPr>
          <w:rFonts w:hint="eastAsia" w:ascii="仿宋" w:hAnsi="仿宋" w:eastAsia="仿宋" w:cs="仿宋_GB2312"/>
          <w:sz w:val="32"/>
          <w:szCs w:val="32"/>
        </w:rPr>
        <w:t>。</w:t>
      </w:r>
    </w:p>
    <w:p w14:paraId="17E5C5B5">
      <w:pPr>
        <w:numPr>
          <w:ilvl w:val="0"/>
          <w:numId w:val="2"/>
        </w:numPr>
        <w:ind w:firstLine="643" w:firstLineChars="200"/>
        <w:rPr>
          <w:rFonts w:ascii="楷体" w:hAnsi="楷体" w:eastAsia="楷体" w:cs="仿宋_GB2312"/>
          <w:b/>
          <w:sz w:val="32"/>
          <w:szCs w:val="32"/>
        </w:rPr>
      </w:pPr>
      <w:r>
        <w:rPr>
          <w:rFonts w:hint="eastAsia" w:ascii="楷体" w:hAnsi="楷体" w:eastAsia="楷体" w:cs="楷体"/>
          <w:b/>
          <w:bCs/>
          <w:sz w:val="32"/>
          <w:szCs w:val="32"/>
          <w:lang w:eastAsia="zh-CN"/>
        </w:rPr>
        <w:t>持续为我市社会经济发展</w:t>
      </w:r>
      <w:r>
        <w:fldChar w:fldCharType="begin"/>
      </w:r>
      <w:r>
        <w:instrText xml:space="preserve"> HYPERLINK "http://www.cqvip.com/QK/96616B/201910/7002070243.html" \t "_blank" </w:instrText>
      </w:r>
      <w:r>
        <w:fldChar w:fldCharType="separate"/>
      </w:r>
      <w:r>
        <w:rPr>
          <w:rFonts w:hint="eastAsia" w:ascii="楷体_GB2312" w:hAnsi="楷体_GB2312" w:eastAsia="楷体_GB2312" w:cs="楷体_GB2312"/>
          <w:b/>
          <w:sz w:val="32"/>
          <w:szCs w:val="32"/>
        </w:rPr>
        <w:t>做好</w:t>
      </w:r>
      <w:r>
        <w:rPr>
          <w:rFonts w:hint="eastAsia" w:ascii="楷体_GB2312" w:hAnsi="楷体_GB2312" w:eastAsia="楷体_GB2312" w:cs="楷体_GB2312"/>
          <w:b/>
          <w:sz w:val="32"/>
          <w:szCs w:val="32"/>
          <w:u w:val="none"/>
        </w:rPr>
        <w:t>测绘服务保障</w:t>
      </w:r>
      <w:r>
        <w:rPr>
          <w:rFonts w:hint="eastAsia" w:ascii="楷体_GB2312" w:hAnsi="楷体_GB2312" w:eastAsia="楷体_GB2312" w:cs="楷体_GB2312"/>
          <w:b/>
          <w:sz w:val="32"/>
          <w:szCs w:val="32"/>
        </w:rPr>
        <w:fldChar w:fldCharType="end"/>
      </w:r>
      <w:r>
        <w:rPr>
          <w:rFonts w:hint="eastAsia" w:ascii="楷体_GB2312" w:hAnsi="楷体_GB2312" w:eastAsia="楷体_GB2312" w:cs="楷体_GB2312"/>
          <w:b/>
          <w:sz w:val="32"/>
          <w:szCs w:val="32"/>
        </w:rPr>
        <w:t>。</w:t>
      </w:r>
      <w:r>
        <w:rPr>
          <w:rFonts w:hint="eastAsia" w:ascii="仿宋" w:hAnsi="仿宋" w:eastAsia="仿宋"/>
          <w:sz w:val="32"/>
          <w:szCs w:val="32"/>
          <w:lang w:eastAsia="zh-CN"/>
        </w:rPr>
        <w:t>全年面向我市社会各界提供工程测量、摄影测量与遥感、不动产测绘、地理信息等技术服务达数百项。</w:t>
      </w:r>
    </w:p>
    <w:p w14:paraId="37EB3630"/>
    <w:p w14:paraId="4AEE0B91">
      <w:pPr>
        <w:widowControl/>
        <w:jc w:val="left"/>
        <w:rPr>
          <w:rFonts w:ascii="仿宋" w:hAnsi="仿宋" w:eastAsia="仿宋"/>
          <w:kern w:val="0"/>
          <w:sz w:val="32"/>
          <w:szCs w:val="32"/>
        </w:rPr>
      </w:pPr>
      <w:r>
        <w:rPr>
          <w:rFonts w:ascii="仿宋" w:hAnsi="仿宋" w:eastAsia="仿宋"/>
          <w:sz w:val="32"/>
          <w:szCs w:val="32"/>
        </w:rPr>
        <w:br w:type="page"/>
      </w:r>
    </w:p>
    <w:p w14:paraId="28D6C0DA">
      <w:pPr>
        <w:pStyle w:val="3"/>
        <w:ind w:right="440"/>
        <w:jc w:val="center"/>
        <w:rPr>
          <w:rStyle w:val="24"/>
          <w:rFonts w:ascii="黑体" w:hAnsi="黑体" w:eastAsia="黑体"/>
          <w:b w:val="0"/>
          <w:bCs/>
        </w:rPr>
      </w:pPr>
      <w:bookmarkStart w:id="35" w:name="_Toc25494"/>
      <w:bookmarkStart w:id="36" w:name="_Toc6607"/>
      <w:bookmarkStart w:id="37" w:name="_Toc15396602"/>
      <w:bookmarkStart w:id="38" w:name="_Toc8301"/>
      <w:bookmarkStart w:id="39" w:name="_Toc6703"/>
      <w:bookmarkStart w:id="40" w:name="_Toc15377204"/>
      <w:r>
        <w:rPr>
          <w:rFonts w:hint="eastAsia" w:ascii="黑体" w:hAnsi="黑体" w:eastAsia="黑体"/>
          <w:b w:val="0"/>
        </w:rPr>
        <w:t>第二部分 2021年度</w:t>
      </w:r>
      <w:r>
        <w:rPr>
          <w:rStyle w:val="24"/>
          <w:rFonts w:hint="eastAsia" w:ascii="黑体" w:hAnsi="黑体" w:eastAsia="黑体"/>
          <w:b w:val="0"/>
          <w:bCs/>
        </w:rPr>
        <w:t>单位决算情况说明</w:t>
      </w:r>
      <w:bookmarkEnd w:id="35"/>
      <w:bookmarkEnd w:id="36"/>
      <w:bookmarkEnd w:id="37"/>
      <w:bookmarkEnd w:id="38"/>
      <w:bookmarkEnd w:id="39"/>
      <w:bookmarkEnd w:id="40"/>
    </w:p>
    <w:p w14:paraId="6A5D5AF4"/>
    <w:p w14:paraId="75C2E2FB">
      <w:pPr>
        <w:pStyle w:val="23"/>
        <w:numPr>
          <w:ilvl w:val="0"/>
          <w:numId w:val="3"/>
        </w:numPr>
        <w:spacing w:line="600" w:lineRule="exact"/>
        <w:ind w:firstLineChars="0"/>
        <w:outlineLvl w:val="1"/>
        <w:rPr>
          <w:rStyle w:val="25"/>
          <w:rFonts w:ascii="黑体" w:hAnsi="黑体" w:eastAsia="黑体"/>
          <w:b w:val="0"/>
        </w:rPr>
      </w:pPr>
      <w:bookmarkStart w:id="41" w:name="_Toc15377205"/>
      <w:bookmarkStart w:id="42" w:name="_Toc15651"/>
      <w:bookmarkStart w:id="43" w:name="_Toc15396603"/>
      <w:bookmarkStart w:id="44" w:name="_Toc9300"/>
      <w:r>
        <w:rPr>
          <w:rFonts w:hint="eastAsia" w:ascii="黑体" w:hAnsi="黑体" w:eastAsia="黑体"/>
          <w:sz w:val="32"/>
          <w:szCs w:val="32"/>
        </w:rPr>
        <w:t>收</w:t>
      </w:r>
      <w:r>
        <w:rPr>
          <w:rStyle w:val="25"/>
          <w:rFonts w:hint="eastAsia" w:ascii="黑体" w:hAnsi="黑体" w:eastAsia="黑体"/>
          <w:b w:val="0"/>
        </w:rPr>
        <w:t>入支出决算总体情况说明</w:t>
      </w:r>
      <w:bookmarkEnd w:id="41"/>
      <w:bookmarkEnd w:id="42"/>
      <w:bookmarkEnd w:id="43"/>
      <w:bookmarkEnd w:id="44"/>
    </w:p>
    <w:p w14:paraId="3FEBB3A1">
      <w:pPr>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1年度收、支总计2654万元。与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年相比，收、支总计各增加432.36万元，增长16.46</w:t>
      </w:r>
      <w:r>
        <w:rPr>
          <w:rFonts w:ascii="仿宋" w:hAnsi="仿宋" w:eastAsia="仿宋"/>
          <w:color w:val="000000"/>
          <w:sz w:val="32"/>
          <w:szCs w:val="32"/>
        </w:rPr>
        <w:t>%</w:t>
      </w:r>
      <w:r>
        <w:rPr>
          <w:rFonts w:hint="eastAsia" w:ascii="仿宋" w:hAnsi="仿宋" w:eastAsia="仿宋"/>
          <w:color w:val="000000"/>
          <w:sz w:val="32"/>
          <w:szCs w:val="32"/>
        </w:rPr>
        <w:t>。主要变动原因是根据业务量变动。</w:t>
      </w:r>
    </w:p>
    <w:p w14:paraId="5787D9DD">
      <w:pPr>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2300605" cy="1508125"/>
            <wp:effectExtent l="4445" t="4445" r="19050" b="1143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3F2888E">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F4552AE">
      <w:pPr>
        <w:spacing w:line="600" w:lineRule="exact"/>
        <w:ind w:firstLine="640" w:firstLineChars="200"/>
        <w:jc w:val="left"/>
        <w:rPr>
          <w:rFonts w:ascii="仿宋_GB2312" w:eastAsia="仿宋_GB2312"/>
          <w:sz w:val="32"/>
          <w:szCs w:val="32"/>
        </w:rPr>
      </w:pPr>
    </w:p>
    <w:p w14:paraId="7ADD0E07">
      <w:pPr>
        <w:pStyle w:val="23"/>
        <w:numPr>
          <w:ilvl w:val="0"/>
          <w:numId w:val="3"/>
        </w:numPr>
        <w:spacing w:line="600" w:lineRule="exact"/>
        <w:ind w:firstLineChars="0"/>
        <w:outlineLvl w:val="1"/>
        <w:rPr>
          <w:rStyle w:val="25"/>
          <w:rFonts w:ascii="黑体" w:hAnsi="黑体" w:eastAsia="黑体"/>
          <w:b w:val="0"/>
        </w:rPr>
      </w:pPr>
      <w:bookmarkStart w:id="45" w:name="_Toc15377206"/>
      <w:bookmarkStart w:id="46" w:name="_Toc29329"/>
      <w:bookmarkStart w:id="47" w:name="_Toc15396604"/>
      <w:bookmarkStart w:id="48" w:name="_Toc22360"/>
      <w:r>
        <w:rPr>
          <w:rFonts w:hint="eastAsia" w:ascii="黑体" w:hAnsi="黑体" w:eastAsia="黑体"/>
          <w:sz w:val="32"/>
          <w:szCs w:val="32"/>
        </w:rPr>
        <w:t>收</w:t>
      </w:r>
      <w:r>
        <w:rPr>
          <w:rStyle w:val="25"/>
          <w:rFonts w:hint="eastAsia" w:ascii="黑体" w:hAnsi="黑体" w:eastAsia="黑体"/>
          <w:b w:val="0"/>
        </w:rPr>
        <w:t>入决算情况说明</w:t>
      </w:r>
      <w:bookmarkEnd w:id="45"/>
      <w:bookmarkEnd w:id="46"/>
      <w:bookmarkEnd w:id="47"/>
      <w:bookmarkEnd w:id="48"/>
    </w:p>
    <w:p w14:paraId="7A1BC6AC">
      <w:pPr>
        <w:ind w:firstLine="640" w:firstLineChars="200"/>
        <w:outlineLvl w:val="1"/>
        <w:rPr>
          <w:rFonts w:ascii="仿宋" w:hAnsi="仿宋" w:eastAsia="仿宋"/>
          <w:color w:val="000000"/>
          <w:sz w:val="32"/>
          <w:szCs w:val="32"/>
        </w:rPr>
      </w:pPr>
      <w:bookmarkStart w:id="49" w:name="_Toc80106448"/>
      <w:bookmarkStart w:id="50" w:name="_Toc7233"/>
      <w:bookmarkStart w:id="51" w:name="_Toc26722"/>
      <w:bookmarkStart w:id="52" w:name="_Toc5076"/>
      <w:bookmarkStart w:id="53" w:name="_Toc13235"/>
      <w:r>
        <w:rPr>
          <w:rFonts w:ascii="仿宋" w:hAnsi="仿宋" w:eastAsia="仿宋"/>
          <w:color w:val="000000"/>
          <w:sz w:val="32"/>
          <w:szCs w:val="32"/>
        </w:rPr>
        <w:t>202</w:t>
      </w:r>
      <w:r>
        <w:rPr>
          <w:rFonts w:hint="eastAsia" w:ascii="仿宋" w:hAnsi="仿宋" w:eastAsia="仿宋"/>
          <w:color w:val="000000"/>
          <w:sz w:val="32"/>
          <w:szCs w:val="32"/>
        </w:rPr>
        <w:t>1年本年收入合计1327万元，其中：经营收入1327万元，占100</w:t>
      </w:r>
      <w:r>
        <w:rPr>
          <w:rFonts w:ascii="仿宋" w:hAnsi="仿宋" w:eastAsia="仿宋"/>
          <w:color w:val="000000"/>
          <w:sz w:val="32"/>
          <w:szCs w:val="32"/>
        </w:rPr>
        <w:t>%</w:t>
      </w:r>
      <w:r>
        <w:rPr>
          <w:rFonts w:hint="eastAsia" w:ascii="仿宋" w:hAnsi="仿宋" w:eastAsia="仿宋"/>
          <w:color w:val="000000"/>
          <w:sz w:val="32"/>
          <w:szCs w:val="32"/>
        </w:rPr>
        <w:t>。</w:t>
      </w:r>
      <w:bookmarkEnd w:id="49"/>
      <w:bookmarkEnd w:id="50"/>
      <w:bookmarkEnd w:id="51"/>
      <w:bookmarkEnd w:id="52"/>
      <w:bookmarkEnd w:id="53"/>
    </w:p>
    <w:p w14:paraId="7D93B013">
      <w:pPr>
        <w:ind w:firstLine="640" w:firstLineChars="200"/>
        <w:jc w:val="center"/>
        <w:outlineLvl w:val="1"/>
        <w:rPr>
          <w:rFonts w:ascii="仿宋" w:hAnsi="仿宋" w:eastAsia="仿宋"/>
          <w:color w:val="000000"/>
          <w:sz w:val="32"/>
          <w:szCs w:val="32"/>
        </w:rPr>
      </w:pPr>
      <w:bookmarkStart w:id="54" w:name="_Toc19708"/>
      <w:bookmarkStart w:id="55" w:name="_Toc15528"/>
      <w:bookmarkStart w:id="56" w:name="_Toc495"/>
      <w:bookmarkStart w:id="57" w:name="_Toc26814"/>
      <w:r>
        <w:rPr>
          <w:rFonts w:hint="eastAsia" w:ascii="仿宋" w:hAnsi="仿宋" w:eastAsia="仿宋"/>
          <w:color w:val="000000"/>
          <w:sz w:val="32"/>
          <w:szCs w:val="32"/>
        </w:rPr>
        <w:drawing>
          <wp:inline distT="0" distB="0" distL="0" distR="0">
            <wp:extent cx="2741930" cy="1393825"/>
            <wp:effectExtent l="4445" t="4445" r="15875" b="1143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54"/>
      <w:bookmarkEnd w:id="55"/>
      <w:bookmarkEnd w:id="56"/>
      <w:bookmarkEnd w:id="57"/>
    </w:p>
    <w:p w14:paraId="431DE937">
      <w:pPr>
        <w:spacing w:line="600" w:lineRule="exact"/>
        <w:ind w:firstLine="640" w:firstLineChars="200"/>
        <w:outlineLvl w:val="1"/>
        <w:rPr>
          <w:rFonts w:ascii="仿宋" w:hAnsi="仿宋" w:eastAsia="仿宋"/>
          <w:sz w:val="32"/>
          <w:szCs w:val="32"/>
        </w:rPr>
      </w:pPr>
    </w:p>
    <w:p w14:paraId="45F5BA04">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A12DCB8">
      <w:pPr>
        <w:spacing w:line="600" w:lineRule="exact"/>
        <w:ind w:firstLine="640" w:firstLineChars="200"/>
        <w:rPr>
          <w:rFonts w:ascii="仿宋_GB2312" w:eastAsia="仿宋_GB2312"/>
          <w:sz w:val="32"/>
          <w:szCs w:val="32"/>
        </w:rPr>
      </w:pPr>
    </w:p>
    <w:p w14:paraId="312519D1">
      <w:pPr>
        <w:pStyle w:val="23"/>
        <w:numPr>
          <w:ilvl w:val="0"/>
          <w:numId w:val="3"/>
        </w:numPr>
        <w:spacing w:line="600" w:lineRule="exact"/>
        <w:ind w:firstLineChars="0"/>
        <w:outlineLvl w:val="1"/>
        <w:rPr>
          <w:rStyle w:val="25"/>
          <w:rFonts w:ascii="黑体" w:hAnsi="黑体" w:eastAsia="黑体"/>
          <w:b w:val="0"/>
        </w:rPr>
      </w:pPr>
      <w:bookmarkStart w:id="58" w:name="_Toc15377207"/>
      <w:bookmarkStart w:id="59" w:name="_Toc15396605"/>
      <w:bookmarkStart w:id="60" w:name="_Toc10311"/>
      <w:bookmarkStart w:id="61" w:name="_Toc27158"/>
      <w:r>
        <w:rPr>
          <w:rFonts w:hint="eastAsia" w:ascii="黑体" w:hAnsi="黑体" w:eastAsia="黑体"/>
          <w:sz w:val="32"/>
          <w:szCs w:val="32"/>
        </w:rPr>
        <w:t>支</w:t>
      </w:r>
      <w:r>
        <w:rPr>
          <w:rStyle w:val="25"/>
          <w:rFonts w:hint="eastAsia" w:ascii="黑体" w:hAnsi="黑体" w:eastAsia="黑体"/>
          <w:b w:val="0"/>
        </w:rPr>
        <w:t>出决算情况说明</w:t>
      </w:r>
      <w:bookmarkEnd w:id="58"/>
      <w:bookmarkEnd w:id="59"/>
      <w:bookmarkEnd w:id="60"/>
      <w:bookmarkEnd w:id="61"/>
    </w:p>
    <w:p w14:paraId="3B1CB37A">
      <w:pPr>
        <w:ind w:firstLine="640" w:firstLineChars="200"/>
        <w:outlineLvl w:val="1"/>
        <w:rPr>
          <w:rFonts w:ascii="仿宋" w:hAnsi="仿宋" w:eastAsia="仿宋"/>
          <w:color w:val="000000"/>
          <w:sz w:val="32"/>
          <w:szCs w:val="32"/>
        </w:rPr>
      </w:pPr>
      <w:bookmarkStart w:id="62" w:name="_Toc10593"/>
      <w:bookmarkStart w:id="63" w:name="_Toc23300"/>
      <w:bookmarkStart w:id="64" w:name="_Toc18492"/>
      <w:bookmarkStart w:id="65" w:name="_Toc80106450"/>
      <w:bookmarkStart w:id="66" w:name="_Toc30844"/>
      <w:r>
        <w:rPr>
          <w:rFonts w:ascii="仿宋" w:hAnsi="仿宋" w:eastAsia="仿宋"/>
          <w:color w:val="000000"/>
          <w:sz w:val="32"/>
          <w:szCs w:val="32"/>
        </w:rPr>
        <w:t>202</w:t>
      </w:r>
      <w:r>
        <w:rPr>
          <w:rFonts w:hint="eastAsia" w:ascii="仿宋" w:hAnsi="仿宋" w:eastAsia="仿宋"/>
          <w:color w:val="000000"/>
          <w:sz w:val="32"/>
          <w:szCs w:val="32"/>
        </w:rPr>
        <w:t>1年本年支出合计1327万元，其中：经营支出1327万元，占100</w:t>
      </w:r>
      <w:r>
        <w:rPr>
          <w:rFonts w:ascii="仿宋" w:hAnsi="仿宋" w:eastAsia="仿宋"/>
          <w:color w:val="000000"/>
          <w:sz w:val="32"/>
          <w:szCs w:val="32"/>
        </w:rPr>
        <w:t>%</w:t>
      </w:r>
      <w:r>
        <w:rPr>
          <w:rFonts w:hint="eastAsia" w:ascii="仿宋" w:hAnsi="仿宋" w:eastAsia="仿宋"/>
          <w:color w:val="000000"/>
          <w:sz w:val="32"/>
          <w:szCs w:val="32"/>
        </w:rPr>
        <w:t>。</w:t>
      </w:r>
      <w:bookmarkEnd w:id="62"/>
      <w:bookmarkEnd w:id="63"/>
      <w:bookmarkEnd w:id="64"/>
      <w:bookmarkEnd w:id="65"/>
      <w:bookmarkEnd w:id="66"/>
    </w:p>
    <w:p w14:paraId="1282D827">
      <w:pPr>
        <w:ind w:firstLine="640"/>
        <w:jc w:val="cente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0" distR="0">
            <wp:extent cx="2609850" cy="1466850"/>
            <wp:effectExtent l="5080" t="4445" r="13970"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89A2AF">
      <w:pPr>
        <w:spacing w:line="600" w:lineRule="exact"/>
        <w:ind w:firstLine="640"/>
        <w:rPr>
          <w:rFonts w:ascii="仿宋" w:hAnsi="仿宋" w:eastAsia="仿宋"/>
          <w:sz w:val="32"/>
          <w:szCs w:val="32"/>
          <w:shd w:val="pct10" w:color="auto" w:fill="FFFFFF"/>
        </w:rPr>
      </w:pPr>
    </w:p>
    <w:p w14:paraId="2799898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5CBDE3C">
      <w:pPr>
        <w:spacing w:line="600" w:lineRule="exact"/>
        <w:ind w:firstLine="640" w:firstLineChars="200"/>
        <w:rPr>
          <w:rFonts w:ascii="仿宋_GB2312" w:eastAsia="仿宋_GB2312"/>
          <w:sz w:val="32"/>
          <w:szCs w:val="32"/>
        </w:rPr>
      </w:pPr>
    </w:p>
    <w:p w14:paraId="16ACBA43">
      <w:pPr>
        <w:spacing w:line="600" w:lineRule="exact"/>
        <w:ind w:firstLine="640" w:firstLineChars="200"/>
        <w:outlineLvl w:val="1"/>
        <w:rPr>
          <w:rStyle w:val="25"/>
          <w:rFonts w:ascii="黑体" w:hAnsi="黑体" w:eastAsia="黑体"/>
          <w:b w:val="0"/>
        </w:rPr>
      </w:pPr>
      <w:bookmarkStart w:id="67" w:name="_Toc5078"/>
      <w:bookmarkStart w:id="68" w:name="_Toc15377208"/>
      <w:bookmarkStart w:id="69" w:name="_Toc15396606"/>
      <w:bookmarkStart w:id="70" w:name="_Toc8173"/>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67"/>
      <w:bookmarkEnd w:id="68"/>
      <w:bookmarkEnd w:id="69"/>
      <w:bookmarkEnd w:id="70"/>
    </w:p>
    <w:p w14:paraId="7EC6B24B">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21年财政拨款收、支总计0万元。</w:t>
      </w:r>
    </w:p>
    <w:p w14:paraId="2D5952C5">
      <w:pPr>
        <w:pStyle w:val="2"/>
        <w:jc w:val="center"/>
        <w:rPr>
          <w:rFonts w:hint="eastAsia" w:eastAsia="仿宋"/>
          <w:lang w:eastAsia="zh-CN"/>
        </w:rPr>
      </w:pPr>
      <w:r>
        <w:rPr>
          <w:rFonts w:hint="eastAsia" w:ascii="仿宋" w:hAnsi="仿宋" w:eastAsia="仿宋"/>
          <w:color w:val="000000"/>
          <w:sz w:val="32"/>
          <w:szCs w:val="32"/>
        </w:rPr>
        <w:drawing>
          <wp:inline distT="0" distB="0" distL="0" distR="0">
            <wp:extent cx="2721610" cy="1491615"/>
            <wp:effectExtent l="5080" t="4445" r="16510" b="889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7E1A0D">
      <w:pPr>
        <w:spacing w:line="600" w:lineRule="exact"/>
        <w:ind w:firstLine="640" w:firstLineChars="200"/>
        <w:outlineLvl w:val="1"/>
        <w:rPr>
          <w:rStyle w:val="25"/>
          <w:rFonts w:ascii="黑体" w:hAnsi="黑体" w:eastAsia="黑体"/>
          <w:b w:val="0"/>
        </w:rPr>
      </w:pPr>
      <w:bookmarkStart w:id="71" w:name="_Toc14427"/>
      <w:bookmarkStart w:id="72" w:name="_Toc22304"/>
      <w:bookmarkStart w:id="73" w:name="_Toc15396607"/>
      <w:bookmarkStart w:id="74"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71"/>
      <w:bookmarkEnd w:id="72"/>
      <w:bookmarkEnd w:id="73"/>
      <w:bookmarkEnd w:id="74"/>
    </w:p>
    <w:p w14:paraId="4E0EAE55">
      <w:pPr>
        <w:spacing w:line="600" w:lineRule="exact"/>
        <w:ind w:firstLine="643" w:firstLineChars="200"/>
        <w:outlineLvl w:val="2"/>
        <w:rPr>
          <w:rFonts w:ascii="仿宋" w:hAnsi="仿宋" w:eastAsia="仿宋"/>
          <w:b/>
          <w:sz w:val="32"/>
          <w:szCs w:val="32"/>
        </w:rPr>
      </w:pPr>
      <w:bookmarkStart w:id="75" w:name="_Toc15377210"/>
      <w:r>
        <w:rPr>
          <w:rFonts w:hint="eastAsia" w:ascii="仿宋" w:hAnsi="仿宋" w:eastAsia="仿宋"/>
          <w:b/>
          <w:sz w:val="32"/>
          <w:szCs w:val="32"/>
        </w:rPr>
        <w:t>（一）一般公共预算财政拨款支出决算总体情况</w:t>
      </w:r>
      <w:bookmarkEnd w:id="75"/>
    </w:p>
    <w:p w14:paraId="133E26BA">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21年一般公共预算财政拨款支出0万元。</w:t>
      </w:r>
    </w:p>
    <w:p w14:paraId="52BA8C99">
      <w:pPr>
        <w:pStyle w:val="2"/>
        <w:jc w:val="center"/>
      </w:pPr>
      <w:r>
        <w:rPr>
          <w:rFonts w:hint="eastAsia" w:ascii="仿宋" w:hAnsi="仿宋" w:eastAsia="仿宋"/>
          <w:color w:val="000000"/>
          <w:sz w:val="32"/>
          <w:szCs w:val="32"/>
        </w:rPr>
        <w:drawing>
          <wp:inline distT="0" distB="0" distL="0" distR="0">
            <wp:extent cx="2721610" cy="1491615"/>
            <wp:effectExtent l="5080" t="4445" r="16510"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FF5C04">
      <w:pPr>
        <w:spacing w:line="600" w:lineRule="exact"/>
        <w:ind w:firstLine="643" w:firstLineChars="200"/>
        <w:outlineLvl w:val="2"/>
        <w:rPr>
          <w:rFonts w:ascii="仿宋" w:hAnsi="仿宋" w:eastAsia="仿宋"/>
          <w:b/>
          <w:sz w:val="32"/>
          <w:szCs w:val="32"/>
        </w:rPr>
      </w:pPr>
      <w:bookmarkStart w:id="76" w:name="_Toc15377211"/>
      <w:r>
        <w:rPr>
          <w:rFonts w:hint="eastAsia" w:ascii="仿宋" w:hAnsi="仿宋" w:eastAsia="仿宋"/>
          <w:b/>
          <w:sz w:val="32"/>
          <w:szCs w:val="32"/>
        </w:rPr>
        <w:t>（二）一般公共预算财政拨款支出决算结构情况</w:t>
      </w:r>
      <w:bookmarkEnd w:id="76"/>
    </w:p>
    <w:p w14:paraId="613F638D">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21年一般公共预算财政拨款支出0万元。</w:t>
      </w:r>
    </w:p>
    <w:p w14:paraId="6586FC87">
      <w:pPr>
        <w:pStyle w:val="2"/>
        <w:jc w:val="center"/>
      </w:pPr>
      <w:r>
        <w:rPr>
          <w:rFonts w:ascii="仿宋" w:hAnsi="仿宋" w:eastAsia="仿宋"/>
          <w:color w:val="000000"/>
          <w:sz w:val="32"/>
          <w:szCs w:val="32"/>
          <w:shd w:val="pct10" w:color="auto" w:fill="FFFFFF"/>
        </w:rPr>
        <w:drawing>
          <wp:inline distT="0" distB="0" distL="0" distR="0">
            <wp:extent cx="2609850" cy="1466850"/>
            <wp:effectExtent l="5080" t="4445" r="1397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E6AD4B">
      <w:pPr>
        <w:spacing w:line="600" w:lineRule="exact"/>
        <w:ind w:firstLine="643" w:firstLineChars="200"/>
        <w:outlineLvl w:val="2"/>
        <w:rPr>
          <w:rFonts w:ascii="仿宋" w:hAnsi="仿宋" w:eastAsia="仿宋"/>
          <w:b/>
          <w:sz w:val="32"/>
          <w:szCs w:val="32"/>
        </w:rPr>
      </w:pPr>
      <w:bookmarkStart w:id="77" w:name="_Toc15377212"/>
      <w:r>
        <w:rPr>
          <w:rFonts w:hint="eastAsia" w:ascii="仿宋" w:hAnsi="仿宋" w:eastAsia="仿宋"/>
          <w:b/>
          <w:sz w:val="32"/>
          <w:szCs w:val="32"/>
        </w:rPr>
        <w:t>（三）一般公共预算财政拨款支出决算具体情况</w:t>
      </w:r>
      <w:bookmarkEnd w:id="77"/>
    </w:p>
    <w:p w14:paraId="2BADA9B0">
      <w:pPr>
        <w:spacing w:line="600" w:lineRule="exact"/>
        <w:ind w:firstLine="640" w:firstLineChars="200"/>
        <w:outlineLvl w:val="2"/>
        <w:rPr>
          <w:rFonts w:ascii="仿宋" w:hAnsi="仿宋" w:eastAsia="仿宋"/>
          <w:b/>
          <w:sz w:val="32"/>
          <w:szCs w:val="32"/>
        </w:rPr>
      </w:pPr>
      <w:bookmarkStart w:id="78" w:name="_Toc15377444"/>
      <w:bookmarkStart w:id="79" w:name="_Toc15377213"/>
      <w:bookmarkStart w:id="80" w:name="_Toc15378460"/>
      <w:r>
        <w:rPr>
          <w:rFonts w:hint="eastAsia" w:ascii="仿宋" w:hAnsi="仿宋" w:eastAsia="仿宋"/>
          <w:sz w:val="32"/>
          <w:szCs w:val="32"/>
        </w:rPr>
        <w:t>2021年一般公共预算支出决算数为0。</w:t>
      </w:r>
      <w:bookmarkEnd w:id="78"/>
      <w:bookmarkEnd w:id="79"/>
      <w:bookmarkEnd w:id="80"/>
    </w:p>
    <w:p w14:paraId="32D03AAC">
      <w:pPr>
        <w:tabs>
          <w:tab w:val="right" w:pos="8306"/>
        </w:tabs>
        <w:spacing w:line="600" w:lineRule="exact"/>
        <w:ind w:firstLine="640"/>
        <w:outlineLvl w:val="1"/>
        <w:rPr>
          <w:rStyle w:val="25"/>
        </w:rPr>
      </w:pPr>
      <w:bookmarkStart w:id="81" w:name="_Toc24950"/>
      <w:bookmarkStart w:id="82" w:name="_Toc15377214"/>
      <w:bookmarkStart w:id="83" w:name="_Toc15396608"/>
      <w:bookmarkStart w:id="84" w:name="_Toc2834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81"/>
      <w:bookmarkEnd w:id="82"/>
      <w:bookmarkEnd w:id="83"/>
      <w:bookmarkEnd w:id="84"/>
      <w:r>
        <w:rPr>
          <w:rStyle w:val="25"/>
          <w:rFonts w:ascii="黑体" w:hAnsi="黑体" w:eastAsia="黑体"/>
          <w:b w:val="0"/>
        </w:rPr>
        <w:tab/>
      </w:r>
    </w:p>
    <w:p w14:paraId="569917D7">
      <w:pPr>
        <w:spacing w:line="600" w:lineRule="exact"/>
        <w:ind w:firstLine="645"/>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21年一般公共预算财政拨款基本支出0万元。</w:t>
      </w:r>
    </w:p>
    <w:p w14:paraId="27066D63">
      <w:pPr>
        <w:spacing w:line="600" w:lineRule="exact"/>
        <w:ind w:firstLine="640"/>
        <w:outlineLvl w:val="1"/>
        <w:rPr>
          <w:rStyle w:val="25"/>
          <w:rFonts w:ascii="黑体" w:hAnsi="黑体" w:eastAsia="黑体"/>
          <w:b w:val="0"/>
        </w:rPr>
      </w:pPr>
      <w:bookmarkStart w:id="85" w:name="_Toc28998"/>
      <w:bookmarkStart w:id="86" w:name="_Toc15377215"/>
      <w:bookmarkStart w:id="87" w:name="_Toc29190"/>
      <w:bookmarkStart w:id="88"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5"/>
      <w:bookmarkEnd w:id="86"/>
      <w:bookmarkEnd w:id="87"/>
      <w:bookmarkEnd w:id="88"/>
    </w:p>
    <w:p w14:paraId="78195E6D">
      <w:pPr>
        <w:spacing w:line="600" w:lineRule="exact"/>
        <w:ind w:firstLine="640"/>
        <w:outlineLvl w:val="2"/>
        <w:rPr>
          <w:rFonts w:ascii="仿宋" w:hAnsi="仿宋" w:eastAsia="仿宋"/>
          <w:b/>
          <w:sz w:val="32"/>
          <w:szCs w:val="32"/>
        </w:rPr>
      </w:pPr>
      <w:bookmarkStart w:id="89" w:name="_Toc15377216"/>
      <w:r>
        <w:rPr>
          <w:rFonts w:hint="eastAsia" w:ascii="仿宋" w:hAnsi="仿宋" w:eastAsia="仿宋"/>
          <w:b/>
          <w:sz w:val="32"/>
          <w:szCs w:val="32"/>
        </w:rPr>
        <w:t>（一）“三公”经费财政拨款支出决算总体情况说明</w:t>
      </w:r>
      <w:bookmarkEnd w:id="89"/>
    </w:p>
    <w:p w14:paraId="4F536649">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w:t>
      </w:r>
    </w:p>
    <w:p w14:paraId="0152DBD1">
      <w:pPr>
        <w:spacing w:line="600" w:lineRule="exact"/>
        <w:ind w:firstLine="640"/>
        <w:outlineLvl w:val="2"/>
        <w:rPr>
          <w:rFonts w:ascii="仿宋" w:hAnsi="仿宋" w:eastAsia="仿宋"/>
          <w:b/>
          <w:sz w:val="32"/>
          <w:szCs w:val="32"/>
        </w:rPr>
      </w:pPr>
      <w:bookmarkStart w:id="90" w:name="_Toc15377217"/>
      <w:r>
        <w:rPr>
          <w:rFonts w:hint="eastAsia" w:ascii="仿宋" w:hAnsi="仿宋" w:eastAsia="仿宋"/>
          <w:b/>
          <w:sz w:val="32"/>
          <w:szCs w:val="32"/>
        </w:rPr>
        <w:t>（二）“三公”经费财政拨款支出决算具体情况说明</w:t>
      </w:r>
      <w:bookmarkEnd w:id="90"/>
    </w:p>
    <w:p w14:paraId="5CFC249C">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w:t>
      </w:r>
      <w:bookmarkStart w:id="178" w:name="_GoBack"/>
      <w:r>
        <w:rPr>
          <w:rFonts w:hint="eastAsia" w:ascii="仿宋" w:hAnsi="仿宋" w:eastAsia="仿宋"/>
          <w:sz w:val="32"/>
          <w:szCs w:val="32"/>
        </w:rPr>
        <w:t>出国</w:t>
      </w:r>
      <w:bookmarkEnd w:id="178"/>
      <w:r>
        <w:rPr>
          <w:rFonts w:hint="eastAsia" w:ascii="仿宋" w:hAnsi="仿宋" w:eastAsia="仿宋"/>
          <w:sz w:val="32"/>
          <w:szCs w:val="32"/>
        </w:rPr>
        <w:t>（境）费支出决算0万元；公务用车购置及运行维护费支出决算0万元；公务接待费支出决算0万元。</w:t>
      </w:r>
    </w:p>
    <w:p w14:paraId="5859B8CB">
      <w:pPr>
        <w:pStyle w:val="2"/>
        <w:jc w:val="center"/>
      </w:pPr>
      <w:r>
        <w:rPr>
          <w:rFonts w:ascii="仿宋" w:hAnsi="仿宋" w:eastAsia="仿宋"/>
          <w:color w:val="000000"/>
          <w:sz w:val="32"/>
          <w:szCs w:val="32"/>
          <w:shd w:val="pct10" w:color="auto" w:fill="FFFFFF"/>
        </w:rPr>
        <w:drawing>
          <wp:inline distT="0" distB="0" distL="0" distR="0">
            <wp:extent cx="4728845" cy="1791970"/>
            <wp:effectExtent l="4445" t="4445" r="10160"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49B111">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6DB44C2">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26EF86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1D20B859">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FB495F6">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其中：</w:t>
      </w:r>
    </w:p>
    <w:p w14:paraId="431980BA">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726D9740">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7D37B55C">
      <w:pPr>
        <w:spacing w:line="600" w:lineRule="exact"/>
        <w:ind w:firstLine="640"/>
        <w:rPr>
          <w:rFonts w:ascii="仿宋" w:hAnsi="仿宋" w:eastAsia="仿宋"/>
          <w:sz w:val="32"/>
          <w:szCs w:val="32"/>
        </w:rPr>
      </w:pPr>
    </w:p>
    <w:p w14:paraId="638AB568">
      <w:pPr>
        <w:spacing w:line="600" w:lineRule="exact"/>
        <w:ind w:firstLine="640"/>
        <w:outlineLvl w:val="1"/>
        <w:rPr>
          <w:rStyle w:val="25"/>
          <w:rFonts w:ascii="黑体" w:hAnsi="黑体" w:eastAsia="黑体"/>
        </w:rPr>
      </w:pPr>
      <w:bookmarkStart w:id="91" w:name="_Toc15396610"/>
      <w:bookmarkStart w:id="92" w:name="_Toc17548"/>
      <w:bookmarkStart w:id="93" w:name="_Toc29450"/>
      <w:bookmarkStart w:id="94" w:name="_Toc15377218"/>
      <w:r>
        <w:rPr>
          <w:rFonts w:hint="eastAsia" w:ascii="黑体" w:eastAsia="黑体"/>
          <w:sz w:val="32"/>
          <w:szCs w:val="32"/>
        </w:rPr>
        <w:t>八、</w:t>
      </w:r>
      <w:r>
        <w:rPr>
          <w:rStyle w:val="25"/>
          <w:rFonts w:hint="eastAsia" w:ascii="黑体" w:hAnsi="黑体" w:eastAsia="黑体"/>
          <w:b w:val="0"/>
        </w:rPr>
        <w:t>政府性基金预算支出决算情况说明</w:t>
      </w:r>
      <w:bookmarkEnd w:id="91"/>
      <w:bookmarkEnd w:id="92"/>
      <w:bookmarkEnd w:id="93"/>
      <w:bookmarkEnd w:id="94"/>
    </w:p>
    <w:p w14:paraId="39DAB39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441497C6">
      <w:pPr>
        <w:numPr>
          <w:ilvl w:val="0"/>
          <w:numId w:val="4"/>
        </w:numPr>
        <w:spacing w:line="600" w:lineRule="exact"/>
        <w:ind w:firstLine="640"/>
        <w:outlineLvl w:val="1"/>
        <w:rPr>
          <w:rStyle w:val="25"/>
          <w:rFonts w:ascii="黑体" w:hAnsi="黑体" w:eastAsia="黑体"/>
          <w:b w:val="0"/>
        </w:rPr>
      </w:pPr>
      <w:bookmarkStart w:id="95" w:name="_Toc24848"/>
      <w:bookmarkStart w:id="96" w:name="_Toc2250"/>
      <w:bookmarkStart w:id="97" w:name="_Toc15396611"/>
      <w:bookmarkStart w:id="98" w:name="_Toc15377219"/>
      <w:r>
        <w:rPr>
          <w:rStyle w:val="25"/>
          <w:rFonts w:hint="eastAsia" w:ascii="黑体" w:hAnsi="黑体" w:eastAsia="黑体"/>
          <w:b w:val="0"/>
        </w:rPr>
        <w:t>国有资本经营预算支出决算情况说明</w:t>
      </w:r>
      <w:bookmarkEnd w:id="95"/>
      <w:bookmarkEnd w:id="96"/>
      <w:bookmarkEnd w:id="97"/>
      <w:bookmarkEnd w:id="98"/>
    </w:p>
    <w:p w14:paraId="3DED2C1B">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54E991F5">
      <w:pPr>
        <w:numPr>
          <w:ilvl w:val="0"/>
          <w:numId w:val="4"/>
        </w:numPr>
        <w:spacing w:line="600" w:lineRule="exact"/>
        <w:ind w:firstLine="640"/>
        <w:outlineLvl w:val="1"/>
        <w:rPr>
          <w:rStyle w:val="25"/>
          <w:rFonts w:ascii="黑体" w:hAnsi="黑体" w:eastAsia="黑体"/>
          <w:b w:val="0"/>
        </w:rPr>
      </w:pPr>
      <w:bookmarkStart w:id="99" w:name="_Toc21966"/>
      <w:bookmarkStart w:id="100" w:name="_Toc15377221"/>
      <w:bookmarkStart w:id="101" w:name="_Toc26683"/>
      <w:bookmarkStart w:id="102" w:name="_Toc15396612"/>
      <w:r>
        <w:rPr>
          <w:rStyle w:val="25"/>
          <w:rFonts w:hint="eastAsia" w:ascii="黑体" w:hAnsi="黑体" w:eastAsia="黑体"/>
          <w:b w:val="0"/>
        </w:rPr>
        <w:t>其他重要事项的情况说明</w:t>
      </w:r>
      <w:bookmarkEnd w:id="99"/>
      <w:bookmarkEnd w:id="100"/>
      <w:bookmarkEnd w:id="101"/>
      <w:bookmarkEnd w:id="102"/>
    </w:p>
    <w:p w14:paraId="55024CBC">
      <w:pPr>
        <w:spacing w:line="600" w:lineRule="exact"/>
        <w:ind w:firstLine="643" w:firstLineChars="200"/>
        <w:outlineLvl w:val="2"/>
        <w:rPr>
          <w:rFonts w:ascii="仿宋" w:hAnsi="仿宋" w:eastAsia="仿宋"/>
          <w:sz w:val="32"/>
          <w:szCs w:val="32"/>
        </w:rPr>
      </w:pPr>
      <w:bookmarkStart w:id="103" w:name="_Toc15377222"/>
      <w:r>
        <w:rPr>
          <w:rFonts w:hint="eastAsia" w:ascii="仿宋" w:hAnsi="仿宋" w:eastAsia="仿宋"/>
          <w:b/>
          <w:sz w:val="32"/>
          <w:szCs w:val="32"/>
        </w:rPr>
        <w:t>（一）机关运行经费支出情况</w:t>
      </w:r>
      <w:bookmarkEnd w:id="103"/>
    </w:p>
    <w:p w14:paraId="3C24913C">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21年，机关运行经费支出0万元。</w:t>
      </w:r>
    </w:p>
    <w:p w14:paraId="44020B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4" w:name="_Toc15377223"/>
      <w:r>
        <w:rPr>
          <w:rFonts w:hint="eastAsia" w:ascii="仿宋" w:hAnsi="仿宋" w:eastAsia="仿宋"/>
          <w:b/>
          <w:sz w:val="32"/>
          <w:szCs w:val="32"/>
        </w:rPr>
        <w:t>（二）政府采购支出情况</w:t>
      </w:r>
      <w:bookmarkEnd w:id="104"/>
    </w:p>
    <w:p w14:paraId="276561D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21年，政府采购支出总额0万元。</w:t>
      </w:r>
    </w:p>
    <w:p w14:paraId="756202BB">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5" w:name="_Toc15377224"/>
      <w:r>
        <w:rPr>
          <w:rFonts w:hint="eastAsia" w:ascii="仿宋" w:hAnsi="仿宋" w:eastAsia="仿宋"/>
          <w:b/>
          <w:sz w:val="32"/>
          <w:szCs w:val="32"/>
        </w:rPr>
        <w:t>（三）国有资产占有使用情况</w:t>
      </w:r>
      <w:bookmarkEnd w:id="105"/>
    </w:p>
    <w:p w14:paraId="0BBC143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日，共有车辆0辆，其中：其他用车1辆，其他用车主要是用于业务用车。</w:t>
      </w:r>
    </w:p>
    <w:p w14:paraId="07184A5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D1BB62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94FEBED">
      <w:pPr>
        <w:pStyle w:val="2"/>
        <w:spacing w:before="93"/>
        <w:rPr>
          <w:highlight w:val="yellow"/>
        </w:rPr>
      </w:pPr>
    </w:p>
    <w:p w14:paraId="11C90784">
      <w:pPr>
        <w:widowControl/>
        <w:jc w:val="left"/>
        <w:rPr>
          <w:rFonts w:ascii="仿宋_GB2312" w:eastAsia="仿宋_GB2312"/>
          <w:b/>
          <w:sz w:val="32"/>
          <w:szCs w:val="32"/>
        </w:rPr>
      </w:pPr>
      <w:r>
        <w:rPr>
          <w:rFonts w:ascii="仿宋_GB2312" w:eastAsia="仿宋_GB2312"/>
          <w:b/>
          <w:sz w:val="32"/>
          <w:szCs w:val="32"/>
        </w:rPr>
        <w:br w:type="page"/>
      </w:r>
    </w:p>
    <w:p w14:paraId="73D314BB">
      <w:pPr>
        <w:numPr>
          <w:ilvl w:val="0"/>
          <w:numId w:val="5"/>
        </w:numPr>
        <w:spacing w:line="600" w:lineRule="exact"/>
        <w:ind w:firstLine="660" w:firstLineChars="150"/>
        <w:jc w:val="center"/>
        <w:outlineLvl w:val="0"/>
        <w:rPr>
          <w:rStyle w:val="24"/>
          <w:rFonts w:ascii="黑体" w:hAnsi="黑体" w:eastAsia="黑体"/>
          <w:b w:val="0"/>
        </w:rPr>
      </w:pPr>
      <w:bookmarkStart w:id="106" w:name="_Toc11408"/>
      <w:bookmarkStart w:id="107" w:name="_Toc15377225"/>
      <w:bookmarkStart w:id="108" w:name="_Toc7540"/>
      <w:bookmarkStart w:id="109" w:name="_Toc31232"/>
      <w:bookmarkStart w:id="110" w:name="_Toc16688"/>
      <w:bookmarkStart w:id="111" w:name="_Toc15396613"/>
      <w:r>
        <w:rPr>
          <w:rFonts w:hint="eastAsia" w:ascii="黑体" w:hAnsi="黑体" w:eastAsia="黑体"/>
          <w:sz w:val="44"/>
          <w:szCs w:val="44"/>
        </w:rPr>
        <w:t>名</w:t>
      </w:r>
      <w:r>
        <w:rPr>
          <w:rStyle w:val="24"/>
          <w:rFonts w:hint="eastAsia" w:ascii="黑体" w:hAnsi="黑体" w:eastAsia="黑体"/>
          <w:b w:val="0"/>
        </w:rPr>
        <w:t>词解释</w:t>
      </w:r>
      <w:bookmarkEnd w:id="106"/>
      <w:bookmarkEnd w:id="107"/>
      <w:bookmarkEnd w:id="108"/>
      <w:bookmarkEnd w:id="109"/>
      <w:bookmarkEnd w:id="110"/>
      <w:bookmarkEnd w:id="111"/>
    </w:p>
    <w:p w14:paraId="0A2E71BC">
      <w:pPr>
        <w:spacing w:line="600" w:lineRule="exact"/>
        <w:jc w:val="left"/>
        <w:rPr>
          <w:rFonts w:ascii="宋体"/>
          <w:b/>
          <w:sz w:val="44"/>
          <w:szCs w:val="44"/>
        </w:rPr>
      </w:pPr>
    </w:p>
    <w:p w14:paraId="152AB328">
      <w:pPr>
        <w:pStyle w:val="22"/>
        <w:spacing w:line="560" w:lineRule="exact"/>
        <w:ind w:firstLine="640" w:firstLineChars="200"/>
        <w:rPr>
          <w:rFonts w:ascii="仿宋_GB2312" w:eastAsia="仿宋_GB2312"/>
          <w:sz w:val="32"/>
          <w:szCs w:val="32"/>
        </w:rPr>
      </w:pPr>
      <w:bookmarkStart w:id="112" w:name="_Toc15377226"/>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w:t>
      </w:r>
    </w:p>
    <w:p w14:paraId="49BC6AC3">
      <w:pPr>
        <w:spacing w:line="600" w:lineRule="exact"/>
        <w:ind w:firstLine="640" w:firstLineChars="200"/>
        <w:jc w:val="center"/>
        <w:outlineLvl w:val="0"/>
        <w:rPr>
          <w:rFonts w:ascii="宋体"/>
          <w:b/>
          <w:sz w:val="44"/>
          <w:szCs w:val="44"/>
        </w:rPr>
      </w:pPr>
      <w:bookmarkStart w:id="113" w:name="_Toc19489"/>
      <w:bookmarkStart w:id="114" w:name="_Toc8800"/>
      <w:bookmarkStart w:id="115" w:name="_Toc1220"/>
      <w:bookmarkStart w:id="116" w:name="_Toc21201"/>
      <w:bookmarkStart w:id="117" w:name="_Toc8780"/>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r>
        <w:rPr>
          <w:rFonts w:ascii="宋体"/>
          <w:b/>
          <w:sz w:val="44"/>
          <w:szCs w:val="44"/>
        </w:rPr>
        <w:br w:type="page"/>
      </w:r>
      <w:bookmarkEnd w:id="113"/>
      <w:bookmarkEnd w:id="114"/>
      <w:bookmarkStart w:id="118" w:name="_Toc15396614"/>
    </w:p>
    <w:p w14:paraId="220AEE88">
      <w:pPr>
        <w:spacing w:line="600" w:lineRule="exact"/>
        <w:jc w:val="center"/>
        <w:outlineLvl w:val="0"/>
        <w:rPr>
          <w:rStyle w:val="24"/>
          <w:rFonts w:ascii="黑体" w:hAnsi="黑体" w:eastAsia="黑体"/>
          <w:b w:val="0"/>
        </w:rPr>
      </w:pPr>
      <w:bookmarkStart w:id="119" w:name="_Toc1612"/>
      <w:r>
        <w:rPr>
          <w:rFonts w:hint="eastAsia" w:ascii="黑体" w:hAnsi="黑体" w:eastAsia="黑体"/>
          <w:sz w:val="44"/>
          <w:szCs w:val="44"/>
        </w:rPr>
        <w:t>第</w:t>
      </w:r>
      <w:r>
        <w:rPr>
          <w:rStyle w:val="24"/>
          <w:rFonts w:hint="eastAsia" w:ascii="黑体" w:hAnsi="黑体" w:eastAsia="黑体"/>
          <w:b w:val="0"/>
        </w:rPr>
        <w:t>四部分 附件</w:t>
      </w:r>
      <w:bookmarkEnd w:id="115"/>
      <w:bookmarkEnd w:id="116"/>
      <w:bookmarkEnd w:id="117"/>
      <w:bookmarkEnd w:id="118"/>
      <w:bookmarkEnd w:id="119"/>
    </w:p>
    <w:p w14:paraId="5429D541">
      <w:pPr>
        <w:pStyle w:val="2"/>
        <w:spacing w:before="93"/>
      </w:pPr>
    </w:p>
    <w:p w14:paraId="36AF8787">
      <w:pPr>
        <w:spacing w:line="572" w:lineRule="exact"/>
        <w:jc w:val="left"/>
        <w:outlineLvl w:val="0"/>
        <w:rPr>
          <w:rFonts w:ascii="仿宋_GB2312" w:hAnsi="Calibri" w:eastAsia="仿宋_GB2312" w:cs="仿宋"/>
          <w:color w:val="000000"/>
          <w:kern w:val="0"/>
          <w:sz w:val="32"/>
          <w:szCs w:val="32"/>
        </w:rPr>
      </w:pPr>
      <w:bookmarkStart w:id="120" w:name="_Toc1906"/>
      <w:bookmarkStart w:id="121" w:name="_Toc6642"/>
      <w:bookmarkStart w:id="122" w:name="_Toc12176"/>
      <w:bookmarkStart w:id="123" w:name="_Toc2248"/>
      <w:bookmarkStart w:id="124" w:name="_Toc11607"/>
      <w:bookmarkStart w:id="125" w:name="_Toc22570"/>
      <w:r>
        <w:rPr>
          <w:rFonts w:hint="eastAsia" w:ascii="仿宋_GB2312" w:hAnsi="Calibri" w:eastAsia="仿宋_GB2312" w:cs="仿宋"/>
          <w:color w:val="000000"/>
          <w:kern w:val="0"/>
          <w:sz w:val="32"/>
          <w:szCs w:val="32"/>
        </w:rPr>
        <w:t>附件</w:t>
      </w:r>
      <w:bookmarkEnd w:id="120"/>
      <w:bookmarkEnd w:id="121"/>
      <w:bookmarkEnd w:id="122"/>
      <w:bookmarkEnd w:id="123"/>
      <w:bookmarkEnd w:id="124"/>
      <w:bookmarkEnd w:id="125"/>
    </w:p>
    <w:p w14:paraId="16FD7797">
      <w:pPr>
        <w:spacing w:line="572" w:lineRule="exact"/>
        <w:jc w:val="center"/>
        <w:outlineLvl w:val="0"/>
        <w:rPr>
          <w:rFonts w:ascii="仿宋_GB2312" w:hAnsi="Calibri" w:eastAsia="仿宋_GB2312" w:cs="仿宋"/>
          <w:color w:val="000000"/>
          <w:kern w:val="0"/>
          <w:sz w:val="32"/>
          <w:szCs w:val="32"/>
        </w:rPr>
      </w:pPr>
      <w:bookmarkStart w:id="126" w:name="_Toc5008"/>
      <w:bookmarkStart w:id="127" w:name="_Toc24749"/>
      <w:bookmarkStart w:id="128" w:name="_Toc12316"/>
      <w:bookmarkStart w:id="129" w:name="_Toc11621"/>
      <w:bookmarkStart w:id="130" w:name="_Toc12149"/>
      <w:bookmarkStart w:id="131" w:name="_Toc1946"/>
      <w:r>
        <w:rPr>
          <w:rFonts w:hint="eastAsia" w:ascii="仿宋_GB2312" w:hAnsi="Calibri" w:eastAsia="仿宋_GB2312" w:cs="仿宋"/>
          <w:color w:val="000000"/>
          <w:kern w:val="0"/>
          <w:sz w:val="32"/>
          <w:szCs w:val="32"/>
        </w:rPr>
        <w:t>2021年100万元以上（含）特定目标类部门预算项目绩效目标自评</w:t>
      </w:r>
      <w:bookmarkEnd w:id="126"/>
      <w:bookmarkEnd w:id="127"/>
      <w:bookmarkEnd w:id="128"/>
      <w:bookmarkEnd w:id="129"/>
      <w:bookmarkEnd w:id="130"/>
      <w:bookmarkEnd w:id="131"/>
    </w:p>
    <w:p w14:paraId="6C8C5A73">
      <w:pPr>
        <w:pStyle w:val="2"/>
        <w:spacing w:before="93"/>
        <w:rPr>
          <w:rFonts w:hAnsi="Calibri" w:cs="仿宋"/>
          <w:color w:val="000000"/>
          <w:sz w:val="32"/>
          <w:szCs w:val="32"/>
        </w:rPr>
      </w:pPr>
      <w:r>
        <w:rPr>
          <w:rFonts w:hint="eastAsia" w:hAnsi="Calibri" w:cs="仿宋"/>
          <w:color w:val="000000"/>
          <w:sz w:val="32"/>
          <w:szCs w:val="32"/>
        </w:rPr>
        <w:t>无</w:t>
      </w:r>
    </w:p>
    <w:p w14:paraId="04827B30">
      <w:pPr>
        <w:spacing w:line="600" w:lineRule="exact"/>
        <w:jc w:val="center"/>
        <w:outlineLvl w:val="0"/>
        <w:rPr>
          <w:rFonts w:ascii="仿宋_GB2312" w:hAnsi="Calibri" w:eastAsia="仿宋_GB2312" w:cs="仿宋"/>
          <w:color w:val="000000"/>
          <w:kern w:val="0"/>
          <w:sz w:val="32"/>
          <w:szCs w:val="32"/>
        </w:rPr>
      </w:pPr>
      <w:bookmarkStart w:id="132" w:name="_Toc15396618"/>
    </w:p>
    <w:p w14:paraId="69F55C04">
      <w:pPr>
        <w:spacing w:line="600" w:lineRule="exact"/>
        <w:jc w:val="center"/>
        <w:outlineLvl w:val="0"/>
        <w:rPr>
          <w:rFonts w:ascii="黑体" w:hAnsi="黑体" w:eastAsia="黑体"/>
          <w:sz w:val="44"/>
          <w:szCs w:val="44"/>
        </w:rPr>
      </w:pPr>
    </w:p>
    <w:p w14:paraId="23FC1F35">
      <w:pPr>
        <w:pStyle w:val="2"/>
        <w:spacing w:before="93"/>
        <w:rPr>
          <w:rFonts w:ascii="黑体" w:hAnsi="黑体" w:eastAsia="黑体"/>
          <w:sz w:val="44"/>
          <w:szCs w:val="44"/>
        </w:rPr>
      </w:pPr>
    </w:p>
    <w:p w14:paraId="6585AB3E">
      <w:pPr>
        <w:pStyle w:val="2"/>
        <w:spacing w:before="93"/>
        <w:rPr>
          <w:rFonts w:ascii="黑体" w:hAnsi="黑体" w:eastAsia="黑体"/>
          <w:sz w:val="44"/>
          <w:szCs w:val="44"/>
        </w:rPr>
      </w:pPr>
    </w:p>
    <w:p w14:paraId="3CB04059">
      <w:pPr>
        <w:pStyle w:val="2"/>
        <w:spacing w:before="93"/>
        <w:rPr>
          <w:rFonts w:ascii="黑体" w:hAnsi="黑体" w:eastAsia="黑体"/>
          <w:sz w:val="44"/>
          <w:szCs w:val="44"/>
        </w:rPr>
      </w:pPr>
    </w:p>
    <w:p w14:paraId="5595568F">
      <w:pPr>
        <w:pStyle w:val="2"/>
        <w:spacing w:before="93"/>
        <w:rPr>
          <w:rFonts w:ascii="黑体" w:hAnsi="黑体" w:eastAsia="黑体"/>
          <w:sz w:val="44"/>
          <w:szCs w:val="44"/>
        </w:rPr>
      </w:pPr>
    </w:p>
    <w:p w14:paraId="3AF24367">
      <w:pPr>
        <w:pStyle w:val="2"/>
        <w:spacing w:before="93"/>
        <w:rPr>
          <w:rFonts w:ascii="黑体" w:hAnsi="黑体" w:eastAsia="黑体"/>
          <w:sz w:val="44"/>
          <w:szCs w:val="44"/>
        </w:rPr>
      </w:pPr>
    </w:p>
    <w:p w14:paraId="71D7E9B5">
      <w:pPr>
        <w:pStyle w:val="2"/>
        <w:spacing w:before="93"/>
        <w:rPr>
          <w:rFonts w:ascii="黑体" w:hAnsi="黑体" w:eastAsia="黑体"/>
          <w:sz w:val="44"/>
          <w:szCs w:val="44"/>
        </w:rPr>
      </w:pPr>
    </w:p>
    <w:p w14:paraId="5150C5E6">
      <w:pPr>
        <w:pStyle w:val="2"/>
        <w:spacing w:before="93"/>
        <w:rPr>
          <w:rFonts w:ascii="黑体" w:hAnsi="黑体" w:eastAsia="黑体"/>
          <w:sz w:val="44"/>
          <w:szCs w:val="44"/>
        </w:rPr>
      </w:pPr>
    </w:p>
    <w:p w14:paraId="2D853B86">
      <w:pPr>
        <w:pStyle w:val="2"/>
        <w:spacing w:before="93"/>
        <w:rPr>
          <w:rFonts w:ascii="黑体" w:hAnsi="黑体" w:eastAsia="黑体"/>
          <w:sz w:val="44"/>
          <w:szCs w:val="44"/>
        </w:rPr>
      </w:pPr>
    </w:p>
    <w:p w14:paraId="3D1EB04B">
      <w:pPr>
        <w:pStyle w:val="2"/>
        <w:spacing w:before="93"/>
        <w:rPr>
          <w:rFonts w:ascii="黑体" w:hAnsi="黑体" w:eastAsia="黑体"/>
          <w:sz w:val="44"/>
          <w:szCs w:val="44"/>
        </w:rPr>
      </w:pPr>
    </w:p>
    <w:p w14:paraId="39E01D7C">
      <w:pPr>
        <w:pStyle w:val="2"/>
        <w:spacing w:before="93"/>
        <w:rPr>
          <w:rFonts w:ascii="黑体" w:hAnsi="黑体" w:eastAsia="黑体"/>
          <w:sz w:val="44"/>
          <w:szCs w:val="44"/>
        </w:rPr>
      </w:pPr>
    </w:p>
    <w:p w14:paraId="327B5D2A">
      <w:pPr>
        <w:pStyle w:val="2"/>
        <w:spacing w:before="93"/>
        <w:rPr>
          <w:rFonts w:ascii="黑体" w:hAnsi="黑体" w:eastAsia="黑体"/>
          <w:sz w:val="44"/>
          <w:szCs w:val="44"/>
        </w:rPr>
      </w:pPr>
    </w:p>
    <w:p w14:paraId="3A4E53C2">
      <w:pPr>
        <w:pStyle w:val="2"/>
        <w:spacing w:before="93"/>
        <w:rPr>
          <w:rFonts w:ascii="黑体" w:hAnsi="黑体" w:eastAsia="黑体"/>
          <w:sz w:val="44"/>
          <w:szCs w:val="44"/>
        </w:rPr>
      </w:pPr>
    </w:p>
    <w:p w14:paraId="1FDACFA6">
      <w:pPr>
        <w:spacing w:line="600" w:lineRule="exact"/>
        <w:jc w:val="center"/>
        <w:outlineLvl w:val="0"/>
        <w:rPr>
          <w:rFonts w:ascii="黑体" w:hAnsi="黑体" w:eastAsia="黑体"/>
          <w:sz w:val="44"/>
          <w:szCs w:val="44"/>
        </w:rPr>
      </w:pPr>
    </w:p>
    <w:p w14:paraId="69B17F9E">
      <w:pPr>
        <w:spacing w:line="600" w:lineRule="exact"/>
        <w:jc w:val="center"/>
        <w:outlineLvl w:val="0"/>
        <w:rPr>
          <w:rFonts w:ascii="仿宋" w:hAnsi="仿宋" w:eastAsia="仿宋"/>
        </w:rPr>
      </w:pPr>
      <w:bookmarkStart w:id="133" w:name="_Toc1825"/>
      <w:bookmarkStart w:id="134" w:name="_Toc18325"/>
      <w:bookmarkStart w:id="135" w:name="_Toc3019"/>
      <w:bookmarkStart w:id="136" w:name="_Toc29047"/>
      <w:r>
        <w:rPr>
          <w:rFonts w:hint="eastAsia" w:ascii="黑体" w:hAnsi="黑体" w:eastAsia="黑体"/>
          <w:sz w:val="44"/>
          <w:szCs w:val="44"/>
        </w:rPr>
        <w:t>第</w:t>
      </w:r>
      <w:r>
        <w:rPr>
          <w:rStyle w:val="24"/>
          <w:rFonts w:hint="eastAsia" w:ascii="黑体" w:hAnsi="黑体" w:eastAsia="黑体"/>
          <w:b w:val="0"/>
        </w:rPr>
        <w:t>五部分 附表</w:t>
      </w:r>
      <w:bookmarkEnd w:id="112"/>
      <w:bookmarkEnd w:id="132"/>
      <w:bookmarkEnd w:id="133"/>
      <w:bookmarkEnd w:id="134"/>
      <w:bookmarkEnd w:id="135"/>
      <w:bookmarkEnd w:id="136"/>
      <w:bookmarkStart w:id="137" w:name="_Toc15396619"/>
    </w:p>
    <w:p w14:paraId="7736C253">
      <w:pPr>
        <w:pStyle w:val="4"/>
        <w:rPr>
          <w:rFonts w:ascii="仿宋" w:hAnsi="仿宋" w:eastAsia="仿宋"/>
        </w:rPr>
      </w:pPr>
      <w:bookmarkStart w:id="138" w:name="_Toc8072"/>
      <w:bookmarkStart w:id="139" w:name="_Toc20229"/>
      <w:r>
        <w:rPr>
          <w:rFonts w:hint="eastAsia" w:ascii="仿宋" w:hAnsi="仿宋" w:eastAsia="仿宋"/>
          <w:b w:val="0"/>
        </w:rPr>
        <w:t>一、收</w:t>
      </w:r>
      <w:r>
        <w:rPr>
          <w:rStyle w:val="25"/>
          <w:rFonts w:hint="eastAsia" w:ascii="仿宋" w:hAnsi="仿宋" w:eastAsia="仿宋"/>
          <w:b w:val="0"/>
          <w:bCs w:val="0"/>
        </w:rPr>
        <w:t>入支出决算总表</w:t>
      </w:r>
      <w:bookmarkEnd w:id="137"/>
      <w:bookmarkEnd w:id="138"/>
      <w:bookmarkEnd w:id="139"/>
    </w:p>
    <w:p w14:paraId="3AD3DB71">
      <w:pPr>
        <w:pStyle w:val="4"/>
        <w:rPr>
          <w:rFonts w:ascii="仿宋" w:hAnsi="仿宋" w:eastAsia="仿宋"/>
        </w:rPr>
      </w:pPr>
      <w:bookmarkStart w:id="140" w:name="_Toc15348"/>
      <w:bookmarkStart w:id="141" w:name="_Toc19371"/>
      <w:bookmarkStart w:id="142" w:name="_Toc15396620"/>
      <w:r>
        <w:rPr>
          <w:rFonts w:hint="eastAsia" w:ascii="仿宋" w:hAnsi="仿宋" w:eastAsia="仿宋"/>
          <w:b w:val="0"/>
        </w:rPr>
        <w:t>二、收</w:t>
      </w:r>
      <w:r>
        <w:rPr>
          <w:rStyle w:val="25"/>
          <w:rFonts w:hint="eastAsia" w:ascii="仿宋" w:hAnsi="仿宋" w:eastAsia="仿宋"/>
          <w:b w:val="0"/>
          <w:bCs w:val="0"/>
        </w:rPr>
        <w:t>入决算表</w:t>
      </w:r>
      <w:bookmarkEnd w:id="140"/>
      <w:bookmarkEnd w:id="141"/>
      <w:bookmarkEnd w:id="142"/>
    </w:p>
    <w:p w14:paraId="6D2344CE">
      <w:pPr>
        <w:pStyle w:val="4"/>
        <w:rPr>
          <w:rFonts w:ascii="仿宋" w:hAnsi="仿宋" w:eastAsia="仿宋"/>
        </w:rPr>
      </w:pPr>
      <w:bookmarkStart w:id="143" w:name="_Toc14580"/>
      <w:bookmarkStart w:id="144" w:name="_Toc15396621"/>
      <w:bookmarkStart w:id="145" w:name="_Toc26424"/>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143"/>
      <w:bookmarkEnd w:id="144"/>
      <w:bookmarkEnd w:id="145"/>
    </w:p>
    <w:p w14:paraId="181BDF99">
      <w:pPr>
        <w:pStyle w:val="4"/>
        <w:rPr>
          <w:rFonts w:ascii="仿宋" w:hAnsi="仿宋" w:eastAsia="仿宋"/>
          <w:b w:val="0"/>
        </w:rPr>
      </w:pPr>
      <w:bookmarkStart w:id="146" w:name="_Toc32670"/>
      <w:bookmarkStart w:id="147" w:name="_Toc29897"/>
      <w:bookmarkStart w:id="14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146"/>
      <w:bookmarkEnd w:id="147"/>
      <w:bookmarkEnd w:id="148"/>
    </w:p>
    <w:p w14:paraId="3E0A7E33">
      <w:pPr>
        <w:pStyle w:val="4"/>
        <w:rPr>
          <w:rStyle w:val="25"/>
          <w:rFonts w:ascii="仿宋" w:hAnsi="仿宋" w:eastAsia="仿宋"/>
          <w:b w:val="0"/>
          <w:bCs w:val="0"/>
        </w:rPr>
      </w:pPr>
      <w:bookmarkStart w:id="149" w:name="_Toc5461"/>
      <w:bookmarkStart w:id="150" w:name="_Toc11614"/>
      <w:bookmarkStart w:id="151"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149"/>
      <w:bookmarkEnd w:id="150"/>
      <w:bookmarkEnd w:id="151"/>
      <w:bookmarkStart w:id="152" w:name="_Toc15396624"/>
    </w:p>
    <w:p w14:paraId="7CBDF3CF">
      <w:pPr>
        <w:pStyle w:val="4"/>
        <w:rPr>
          <w:rFonts w:ascii="仿宋" w:hAnsi="仿宋" w:eastAsia="仿宋"/>
        </w:rPr>
      </w:pPr>
      <w:bookmarkStart w:id="153" w:name="_Toc28416"/>
      <w:bookmarkStart w:id="154" w:name="_Toc6644"/>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152"/>
      <w:bookmarkEnd w:id="153"/>
      <w:bookmarkEnd w:id="154"/>
    </w:p>
    <w:p w14:paraId="7EA7D5E8">
      <w:pPr>
        <w:pStyle w:val="4"/>
        <w:rPr>
          <w:rFonts w:ascii="仿宋" w:hAnsi="仿宋" w:eastAsia="仿宋"/>
        </w:rPr>
      </w:pPr>
      <w:bookmarkStart w:id="155" w:name="_Toc15396625"/>
      <w:bookmarkStart w:id="156" w:name="_Toc18877"/>
      <w:bookmarkStart w:id="157" w:name="_Toc8864"/>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155"/>
      <w:bookmarkEnd w:id="156"/>
      <w:bookmarkEnd w:id="157"/>
    </w:p>
    <w:p w14:paraId="64810023">
      <w:pPr>
        <w:pStyle w:val="4"/>
        <w:rPr>
          <w:rFonts w:ascii="仿宋" w:hAnsi="仿宋" w:eastAsia="仿宋"/>
        </w:rPr>
      </w:pPr>
      <w:bookmarkStart w:id="158" w:name="_Toc10496"/>
      <w:bookmarkStart w:id="159" w:name="_Toc6584"/>
      <w:bookmarkStart w:id="160"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158"/>
      <w:bookmarkEnd w:id="159"/>
      <w:bookmarkEnd w:id="160"/>
    </w:p>
    <w:p w14:paraId="575F0E73">
      <w:pPr>
        <w:pStyle w:val="4"/>
        <w:rPr>
          <w:rFonts w:ascii="仿宋" w:hAnsi="仿宋" w:eastAsia="仿宋"/>
        </w:rPr>
      </w:pPr>
      <w:bookmarkStart w:id="161" w:name="_Toc735"/>
      <w:bookmarkStart w:id="162" w:name="_Toc15396627"/>
      <w:bookmarkStart w:id="163" w:name="_Toc20904"/>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61"/>
      <w:bookmarkEnd w:id="162"/>
      <w:bookmarkEnd w:id="163"/>
    </w:p>
    <w:p w14:paraId="27CF8733">
      <w:pPr>
        <w:pStyle w:val="4"/>
        <w:rPr>
          <w:rFonts w:ascii="仿宋" w:hAnsi="仿宋" w:eastAsia="仿宋"/>
        </w:rPr>
      </w:pPr>
      <w:bookmarkStart w:id="164" w:name="_Toc15396628"/>
      <w:bookmarkStart w:id="165" w:name="_Toc3859"/>
      <w:bookmarkStart w:id="166" w:name="_Toc3464"/>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164"/>
      <w:bookmarkEnd w:id="165"/>
      <w:bookmarkEnd w:id="166"/>
    </w:p>
    <w:p w14:paraId="34FF2982">
      <w:pPr>
        <w:pStyle w:val="4"/>
        <w:rPr>
          <w:rFonts w:ascii="仿宋" w:hAnsi="仿宋" w:eastAsia="仿宋"/>
        </w:rPr>
      </w:pPr>
      <w:bookmarkStart w:id="167" w:name="_Toc23216"/>
      <w:bookmarkStart w:id="168" w:name="_Toc15396629"/>
      <w:bookmarkStart w:id="169" w:name="_Toc15572"/>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67"/>
      <w:bookmarkEnd w:id="168"/>
      <w:bookmarkEnd w:id="169"/>
    </w:p>
    <w:p w14:paraId="2F93625F">
      <w:pPr>
        <w:pStyle w:val="4"/>
        <w:rPr>
          <w:rFonts w:ascii="仿宋" w:hAnsi="仿宋" w:eastAsia="仿宋"/>
        </w:rPr>
      </w:pPr>
      <w:bookmarkStart w:id="170" w:name="_Toc15396630"/>
      <w:bookmarkStart w:id="171" w:name="_Toc14552"/>
      <w:bookmarkStart w:id="172" w:name="_Toc4513"/>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170"/>
      <w:bookmarkEnd w:id="171"/>
      <w:bookmarkEnd w:id="172"/>
    </w:p>
    <w:p w14:paraId="7F679ED6">
      <w:pPr>
        <w:pStyle w:val="4"/>
        <w:rPr>
          <w:rStyle w:val="25"/>
          <w:rFonts w:ascii="仿宋" w:hAnsi="仿宋" w:eastAsia="仿宋"/>
          <w:b w:val="0"/>
          <w:bCs w:val="0"/>
        </w:rPr>
      </w:pPr>
      <w:bookmarkStart w:id="173" w:name="_Toc20226"/>
      <w:bookmarkStart w:id="174" w:name="_Toc8228"/>
      <w:bookmarkStart w:id="175"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73"/>
      <w:bookmarkEnd w:id="174"/>
      <w:bookmarkEnd w:id="175"/>
    </w:p>
    <w:p w14:paraId="7B535BD9">
      <w:pPr>
        <w:rPr>
          <w:rFonts w:eastAsia="仿宋"/>
        </w:rPr>
      </w:pPr>
      <w:bookmarkStart w:id="176" w:name="_Toc13848"/>
      <w:bookmarkStart w:id="177" w:name="_Toc6277"/>
      <w:r>
        <w:rPr>
          <w:rStyle w:val="25"/>
          <w:rFonts w:hint="eastAsia" w:ascii="仿宋" w:hAnsi="仿宋" w:eastAsia="仿宋"/>
          <w:b w:val="0"/>
          <w:bCs w:val="0"/>
        </w:rPr>
        <w:t>十四、国有资本经营预算财政拨款支出决算表</w:t>
      </w:r>
      <w:bookmarkEnd w:id="176"/>
      <w:bookmarkEnd w:id="17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FCDA06F">
        <w:pPr>
          <w:pStyle w:val="8"/>
          <w:jc w:val="center"/>
        </w:pPr>
        <w:r>
          <w:fldChar w:fldCharType="begin"/>
        </w:r>
        <w:r>
          <w:instrText xml:space="preserve">PAGE   \* MERGEFORMAT</w:instrText>
        </w:r>
        <w:r>
          <w:fldChar w:fldCharType="separate"/>
        </w:r>
        <w:r>
          <w:rPr>
            <w:lang w:val="zh-CN"/>
          </w:rPr>
          <w:t>2</w:t>
        </w:r>
        <w:r>
          <w:fldChar w:fldCharType="end"/>
        </w:r>
      </w:p>
    </w:sdtContent>
  </w:sdt>
  <w:p w14:paraId="59AC2F7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205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441AE"/>
    <w:multiLevelType w:val="singleLevel"/>
    <w:tmpl w:val="C1F441A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0A76291"/>
    <w:multiLevelType w:val="singleLevel"/>
    <w:tmpl w:val="F0A76291"/>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OGQ1NjE5MTQ4MDllYjk1ODA3YjlkZWMxN2RiZ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04C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4528"/>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22A7"/>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6CE"/>
    <w:rsid w:val="00F417B1"/>
    <w:rsid w:val="00F45853"/>
    <w:rsid w:val="00F602DF"/>
    <w:rsid w:val="00F754A1"/>
    <w:rsid w:val="00F81FD9"/>
    <w:rsid w:val="00F841AA"/>
    <w:rsid w:val="00F84A94"/>
    <w:rsid w:val="00F87E96"/>
    <w:rsid w:val="00FA23E8"/>
    <w:rsid w:val="00FD3CC1"/>
    <w:rsid w:val="00FF1E02"/>
    <w:rsid w:val="00FF30B4"/>
    <w:rsid w:val="03DB74C4"/>
    <w:rsid w:val="06344057"/>
    <w:rsid w:val="0A2032A3"/>
    <w:rsid w:val="0B8A37D8"/>
    <w:rsid w:val="0C0E2D17"/>
    <w:rsid w:val="10C055FF"/>
    <w:rsid w:val="118107EC"/>
    <w:rsid w:val="11DD6519"/>
    <w:rsid w:val="16BB723D"/>
    <w:rsid w:val="18015F3F"/>
    <w:rsid w:val="1BE8440E"/>
    <w:rsid w:val="1CE343B6"/>
    <w:rsid w:val="1D155CEE"/>
    <w:rsid w:val="20F57F95"/>
    <w:rsid w:val="240371BF"/>
    <w:rsid w:val="25C741E6"/>
    <w:rsid w:val="27842671"/>
    <w:rsid w:val="29FD04D3"/>
    <w:rsid w:val="2A1B43AD"/>
    <w:rsid w:val="2A7C1C4B"/>
    <w:rsid w:val="2ABE7A3E"/>
    <w:rsid w:val="2C6376C3"/>
    <w:rsid w:val="2D2D2ACF"/>
    <w:rsid w:val="2EFA178C"/>
    <w:rsid w:val="30B46D73"/>
    <w:rsid w:val="319F7F4E"/>
    <w:rsid w:val="34684C7E"/>
    <w:rsid w:val="3700615A"/>
    <w:rsid w:val="383A69FC"/>
    <w:rsid w:val="39AE70AB"/>
    <w:rsid w:val="3C0C0783"/>
    <w:rsid w:val="3F9F3A96"/>
    <w:rsid w:val="41857EAB"/>
    <w:rsid w:val="440A1245"/>
    <w:rsid w:val="44B41E78"/>
    <w:rsid w:val="48371E66"/>
    <w:rsid w:val="493C27E9"/>
    <w:rsid w:val="496F39ED"/>
    <w:rsid w:val="49FF41D3"/>
    <w:rsid w:val="4BE068DB"/>
    <w:rsid w:val="4BF6002B"/>
    <w:rsid w:val="4D1D096E"/>
    <w:rsid w:val="4ECE2238"/>
    <w:rsid w:val="51DB4B86"/>
    <w:rsid w:val="55333C3E"/>
    <w:rsid w:val="55FD0EED"/>
    <w:rsid w:val="57867818"/>
    <w:rsid w:val="57B71FA9"/>
    <w:rsid w:val="61410E8C"/>
    <w:rsid w:val="62F97F77"/>
    <w:rsid w:val="64CA39A1"/>
    <w:rsid w:val="652F6ED3"/>
    <w:rsid w:val="675E6026"/>
    <w:rsid w:val="6C4A05C8"/>
    <w:rsid w:val="6FED2FAF"/>
    <w:rsid w:val="701D7AE5"/>
    <w:rsid w:val="718D75C1"/>
    <w:rsid w:val="72734D90"/>
    <w:rsid w:val="78102EE4"/>
    <w:rsid w:val="79E7B28D"/>
    <w:rsid w:val="7B625E35"/>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2020</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1110.82</c:v>
                </c:pt>
                <c:pt idx="1">
                  <c:v>1327</c:v>
                </c:pt>
              </c:numCache>
            </c:numRef>
          </c:val>
        </c:ser>
        <c:ser>
          <c:idx val="1"/>
          <c:order val="1"/>
          <c:tx>
            <c:strRef>
              <c:f>Sheet1!$C$1</c:f>
              <c:strCache>
                <c:ptCount val="1"/>
                <c:pt idx="0">
                  <c:v>2021</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1110.82</c:v>
                </c:pt>
                <c:pt idx="1">
                  <c:v>1327</c:v>
                </c:pt>
              </c:numCache>
            </c:numRef>
          </c:val>
        </c:ser>
        <c:dLbls>
          <c:showLegendKey val="0"/>
          <c:showVal val="0"/>
          <c:showCatName val="0"/>
          <c:showSerName val="0"/>
          <c:showPercent val="0"/>
          <c:showBubbleSize val="0"/>
        </c:dLbls>
        <c:gapWidth val="150"/>
        <c:overlap val="100"/>
        <c:axId val="106563456"/>
        <c:axId val="106582016"/>
      </c:barChart>
      <c:catAx>
        <c:axId val="106563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82016"/>
        <c:crosses val="autoZero"/>
        <c:auto val="1"/>
        <c:lblAlgn val="ctr"/>
        <c:lblOffset val="100"/>
        <c:noMultiLvlLbl val="0"/>
      </c:catAx>
      <c:valAx>
        <c:axId val="10658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63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c5dc994-a865-4285-933f-c5132c7ef71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Lbls>
            <c:delete val="1"/>
          </c:dLbls>
          <c:cat>
            <c:strRef>
              <c:f>Sheet1!$A$2</c:f>
              <c:strCache>
                <c:ptCount val="1"/>
                <c:pt idx="0">
                  <c:v>经营收入</c:v>
                </c:pt>
              </c:strCache>
            </c:strRef>
          </c:cat>
          <c:val>
            <c:numRef>
              <c:f>Sheet1!$B$2</c:f>
              <c:numCache>
                <c:formatCode>General</c:formatCode>
                <c:ptCount val="1"/>
                <c:pt idx="0">
                  <c:v>1110.82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d0f0b0d-9b95-4660-92c4-3307f3b9784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dPt>
          <c:dLbls>
            <c:delete val="1"/>
          </c:dLbls>
          <c:cat>
            <c:strRef>
              <c:f>Sheet1!$A$2</c:f>
              <c:strCache>
                <c:ptCount val="1"/>
                <c:pt idx="0">
                  <c:v>经营支出</c:v>
                </c:pt>
              </c:strCache>
            </c:strRef>
          </c:cat>
          <c:val>
            <c:numRef>
              <c:f>Sheet1!$B$2</c:f>
              <c:numCache>
                <c:formatCode>General</c:formatCode>
                <c:ptCount val="1"/>
                <c:pt idx="0">
                  <c:v>1110.82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bf3272e-9d7e-48e7-ae83-648cf5a9041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2020</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0</c:v>
                </c:pt>
                <c:pt idx="1">
                  <c:v>0</c:v>
                </c:pt>
              </c:numCache>
            </c:numRef>
          </c:val>
        </c:ser>
        <c:ser>
          <c:idx val="1"/>
          <c:order val="1"/>
          <c:tx>
            <c:strRef>
              <c:f>Sheet1!$C$1</c:f>
              <c:strCache>
                <c:ptCount val="1"/>
                <c:pt idx="0">
                  <c:v>2021</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0</c:v>
                </c:pt>
                <c:pt idx="1">
                  <c:v>0</c:v>
                </c:pt>
              </c:numCache>
            </c:numRef>
          </c:val>
        </c:ser>
        <c:dLbls>
          <c:showLegendKey val="0"/>
          <c:showVal val="0"/>
          <c:showCatName val="0"/>
          <c:showSerName val="0"/>
          <c:showPercent val="0"/>
          <c:showBubbleSize val="0"/>
        </c:dLbls>
        <c:gapWidth val="150"/>
        <c:overlap val="100"/>
        <c:axId val="106563456"/>
        <c:axId val="106582016"/>
      </c:barChart>
      <c:catAx>
        <c:axId val="106563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82016"/>
        <c:crosses val="autoZero"/>
        <c:auto val="1"/>
        <c:lblAlgn val="ctr"/>
        <c:lblOffset val="100"/>
        <c:noMultiLvlLbl val="0"/>
      </c:catAx>
      <c:valAx>
        <c:axId val="10658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63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dd2dec6-16c0-4998-a2d5-ae4d2b0d99d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2020</c:v>
                </c:pt>
              </c:strCache>
            </c:strRef>
          </c:tx>
          <c:invertIfNegative val="0"/>
          <c:dLbls>
            <c:delete val="1"/>
          </c:dLbls>
          <c:cat>
            <c:strRef>
              <c:f>Sheet1!$A$2</c:f>
              <c:strCache>
                <c:ptCount val="1"/>
                <c:pt idx="0">
                  <c:v>支出</c:v>
                </c:pt>
              </c:strCache>
            </c:strRef>
          </c:cat>
          <c:val>
            <c:numRef>
              <c:f>Sheet1!$B$2</c:f>
              <c:numCache>
                <c:formatCode>General</c:formatCode>
                <c:ptCount val="1"/>
                <c:pt idx="0">
                  <c:v>0</c:v>
                </c:pt>
              </c:numCache>
            </c:numRef>
          </c:val>
        </c:ser>
        <c:ser>
          <c:idx val="1"/>
          <c:order val="1"/>
          <c:tx>
            <c:strRef>
              <c:f>Sheet1!$C$1</c:f>
              <c:strCache>
                <c:ptCount val="1"/>
                <c:pt idx="0">
                  <c:v>2021</c:v>
                </c:pt>
              </c:strCache>
            </c:strRef>
          </c:tx>
          <c:invertIfNegative val="0"/>
          <c:dLbls>
            <c:delete val="1"/>
          </c:dLbls>
          <c:cat>
            <c:strRef>
              <c:f>Sheet1!$A$2</c:f>
              <c:strCache>
                <c:ptCount val="1"/>
                <c:pt idx="0">
                  <c:v>支出</c:v>
                </c:pt>
              </c:strCache>
            </c:strRef>
          </c:cat>
          <c:val>
            <c:numRef>
              <c:f>Sheet1!$C$2</c:f>
              <c:numCache>
                <c:formatCode>General</c:formatCode>
                <c:ptCount val="1"/>
                <c:pt idx="0">
                  <c:v>0</c:v>
                </c:pt>
              </c:numCache>
            </c:numRef>
          </c:val>
        </c:ser>
        <c:dLbls>
          <c:showLegendKey val="0"/>
          <c:showVal val="0"/>
          <c:showCatName val="0"/>
          <c:showSerName val="0"/>
          <c:showPercent val="0"/>
          <c:showBubbleSize val="0"/>
        </c:dLbls>
        <c:gapWidth val="150"/>
        <c:overlap val="100"/>
        <c:axId val="106563456"/>
        <c:axId val="106582016"/>
      </c:barChart>
      <c:catAx>
        <c:axId val="106563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82016"/>
        <c:crosses val="autoZero"/>
        <c:auto val="1"/>
        <c:lblAlgn val="ctr"/>
        <c:lblOffset val="100"/>
        <c:noMultiLvlLbl val="0"/>
      </c:catAx>
      <c:valAx>
        <c:axId val="10658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563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3c4d4da-a4d9-486f-b557-2540b24dd6b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dPt>
          <c:dLbls>
            <c:delete val="1"/>
          </c:dLbls>
          <c:cat>
            <c:numRef>
              <c:f>Sheet1!$A$2</c:f>
              <c:numCache>
                <c:formatCode>General</c:formatCode>
                <c:ptCount val="1"/>
                <c:pt idx="0">
                  <c:v>2021</c:v>
                </c:pt>
              </c:numCache>
            </c:numRef>
          </c:cat>
          <c:val>
            <c:numRef>
              <c:f>Sheet1!$B$2</c:f>
              <c:numCache>
                <c:formatCode>General</c:formatCode>
                <c:ptCount val="1"/>
                <c:pt idx="0">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a74487d-ef2d-4914-a7a1-5a90da21ae7a}"/>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“三公”经费</a:t>
            </a:r>
          </a:p>
        </c:rich>
      </c:tx>
      <c:layout/>
      <c:overlay val="0"/>
    </c:title>
    <c:autoTitleDeleted val="0"/>
    <c:plotArea>
      <c:layout/>
      <c:pieChart>
        <c:varyColors val="1"/>
        <c:ser>
          <c:idx val="0"/>
          <c:order val="0"/>
          <c:tx>
            <c:strRef>
              <c:f>Sheet1!$B$1</c:f>
              <c:strCache>
                <c:ptCount val="1"/>
                <c:pt idx="0">
                  <c:v>“三公经费”</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5eeee2e-c4ba-41d4-b4f5-b36d487792f0}"/>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2727</Words>
  <Characters>2868</Characters>
  <Lines>33</Lines>
  <Paragraphs>9</Paragraphs>
  <TotalTime>7</TotalTime>
  <ScaleCrop>false</ScaleCrop>
  <LinksUpToDate>false</LinksUpToDate>
  <CharactersWithSpaces>2917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2022-08-31T07:59:00Z</dcterms:created>
  <dc:creator>曹颖</dc:creator>
  <cp:lastModifiedBy>ly</cp:lastModifiedBy>
  <cp:lastPrinted>2022-08-31T08:01:00Z</cp:lastPrinted>
  <dcterms:modified xsi:type="dcterms:W3CDTF">2025-01-14T01:27:14Z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165677DC6BF54EE88F8E1868C6E50C83</vt:lpwstr>
  </property>
  <property fmtid="{D5CDD505-2E9C-101B-9397-08002B2CF9AE}" pid="4" name="KSOTemplateDocerSaveRecord">
    <vt:lpwstr>eyJoZGlkIjoiODIwYTYzODk4MzliNTdlNDBhOWE5MTBhMDMxYjAwOGEiLCJ1c2VySWQiOiI0NDE3MjU5MjgifQ==</vt:lpwstr>
  </property>
</Properties>
</file>