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4DDDC">
      <w:pPr>
        <w:spacing w:line="600" w:lineRule="exact"/>
        <w:jc w:val="center"/>
        <w:outlineLvl w:val="0"/>
        <w:rPr>
          <w:rFonts w:ascii="方正小标宋简体" w:hAnsi="宋体" w:eastAsia="方正小标宋简体"/>
          <w:sz w:val="72"/>
          <w:szCs w:val="72"/>
        </w:rPr>
      </w:pPr>
      <w:bookmarkStart w:id="0" w:name="_Toc15306267"/>
    </w:p>
    <w:p w14:paraId="0BF3451E">
      <w:pPr>
        <w:spacing w:line="600" w:lineRule="exact"/>
        <w:jc w:val="center"/>
        <w:outlineLvl w:val="0"/>
        <w:rPr>
          <w:rFonts w:ascii="方正小标宋简体" w:hAnsi="宋体" w:eastAsia="方正小标宋简体"/>
          <w:sz w:val="72"/>
          <w:szCs w:val="72"/>
        </w:rPr>
      </w:pPr>
    </w:p>
    <w:p w14:paraId="79193BAF">
      <w:pPr>
        <w:spacing w:line="600" w:lineRule="exact"/>
        <w:jc w:val="center"/>
        <w:outlineLvl w:val="0"/>
        <w:rPr>
          <w:rFonts w:ascii="方正小标宋简体" w:hAnsi="宋体" w:eastAsia="方正小标宋简体"/>
          <w:sz w:val="72"/>
          <w:szCs w:val="72"/>
        </w:rPr>
      </w:pPr>
    </w:p>
    <w:p w14:paraId="768AF436">
      <w:pPr>
        <w:spacing w:line="600" w:lineRule="exact"/>
        <w:jc w:val="center"/>
        <w:outlineLvl w:val="0"/>
        <w:rPr>
          <w:rFonts w:ascii="方正小标宋简体" w:hAnsi="宋体" w:eastAsia="方正小标宋简体"/>
          <w:sz w:val="72"/>
          <w:szCs w:val="72"/>
        </w:rPr>
      </w:pPr>
    </w:p>
    <w:p w14:paraId="0C6EBA8D">
      <w:pPr>
        <w:adjustRightInd w:val="0"/>
        <w:snapToGrid w:val="0"/>
        <w:spacing w:line="360" w:lineRule="auto"/>
        <w:jc w:val="center"/>
        <w:outlineLvl w:val="0"/>
        <w:rPr>
          <w:rFonts w:ascii="方正小标宋简体" w:hAnsi="宋体" w:eastAsia="方正小标宋简体"/>
          <w:sz w:val="72"/>
          <w:szCs w:val="72"/>
        </w:rPr>
      </w:pPr>
      <w:bookmarkStart w:id="1" w:name="_Toc15377425"/>
      <w:bookmarkStart w:id="2" w:name="_Toc15378441"/>
      <w:bookmarkStart w:id="3" w:name="_Toc15396597"/>
      <w:bookmarkStart w:id="4" w:name="_Toc15377193"/>
      <w:bookmarkStart w:id="5" w:name="_Toc15396475"/>
      <w:r>
        <w:rPr>
          <w:rFonts w:ascii="黑体" w:hAnsi="黑体" w:eastAsia="黑体"/>
          <w:sz w:val="72"/>
          <w:szCs w:val="72"/>
        </w:rPr>
        <w:t>2018</w:t>
      </w:r>
      <w:r>
        <w:rPr>
          <w:rFonts w:hint="eastAsia" w:ascii="方正小标宋简体" w:hAnsi="宋体" w:eastAsia="方正小标宋简体"/>
          <w:sz w:val="72"/>
          <w:szCs w:val="72"/>
        </w:rPr>
        <w:t>年度</w:t>
      </w:r>
      <w:bookmarkEnd w:id="1"/>
      <w:bookmarkEnd w:id="2"/>
      <w:bookmarkEnd w:id="3"/>
      <w:bookmarkEnd w:id="4"/>
      <w:bookmarkEnd w:id="5"/>
    </w:p>
    <w:p w14:paraId="42E49EBE">
      <w:pPr>
        <w:adjustRightInd w:val="0"/>
        <w:snapToGrid w:val="0"/>
        <w:spacing w:line="360" w:lineRule="auto"/>
        <w:jc w:val="center"/>
        <w:outlineLvl w:val="0"/>
        <w:rPr>
          <w:rFonts w:ascii="方正小标宋简体" w:hAnsi="宋体" w:eastAsia="方正小标宋简体"/>
          <w:sz w:val="72"/>
          <w:szCs w:val="72"/>
        </w:rPr>
      </w:pPr>
      <w:bookmarkStart w:id="6" w:name="_Toc15377194"/>
      <w:bookmarkStart w:id="7" w:name="_Toc15378442"/>
      <w:bookmarkStart w:id="8" w:name="_Toc15396598"/>
      <w:bookmarkStart w:id="9" w:name="_Toc15396476"/>
      <w:bookmarkStart w:id="10" w:name="_Toc15377426"/>
      <w:r>
        <w:rPr>
          <w:rFonts w:hint="eastAsia" w:ascii="方正小标宋简体" w:hAnsi="宋体" w:eastAsia="方正小标宋简体"/>
          <w:sz w:val="72"/>
          <w:szCs w:val="72"/>
        </w:rPr>
        <w:t>遂宁市</w:t>
      </w:r>
      <w:bookmarkEnd w:id="0"/>
      <w:bookmarkStart w:id="11" w:name="_Toc15306268"/>
      <w:r>
        <w:rPr>
          <w:rFonts w:hint="eastAsia" w:ascii="方正小标宋简体" w:hAnsi="宋体" w:eastAsia="方正小标宋简体"/>
          <w:sz w:val="72"/>
          <w:szCs w:val="72"/>
        </w:rPr>
        <w:t>国土资源局</w:t>
      </w:r>
    </w:p>
    <w:p w14:paraId="36EA4049">
      <w:pPr>
        <w:adjustRightInd w:val="0"/>
        <w:snapToGrid w:val="0"/>
        <w:spacing w:line="360" w:lineRule="auto"/>
        <w:jc w:val="center"/>
        <w:outlineLvl w:val="0"/>
        <w:rPr>
          <w:rFonts w:ascii="方正小标宋简体" w:hAnsi="宋体" w:eastAsia="方正小标宋简体"/>
          <w:sz w:val="72"/>
          <w:szCs w:val="72"/>
        </w:rPr>
      </w:pPr>
      <w:r>
        <w:rPr>
          <w:rFonts w:hint="eastAsia" w:ascii="方正小标宋简体" w:hAnsi="宋体" w:eastAsia="方正小标宋简体"/>
          <w:sz w:val="72"/>
          <w:szCs w:val="72"/>
        </w:rPr>
        <w:t>部门决算</w:t>
      </w:r>
      <w:bookmarkEnd w:id="6"/>
      <w:bookmarkEnd w:id="7"/>
      <w:bookmarkEnd w:id="8"/>
      <w:bookmarkEnd w:id="9"/>
      <w:bookmarkEnd w:id="10"/>
      <w:bookmarkEnd w:id="11"/>
    </w:p>
    <w:p w14:paraId="7ADFC6B1">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17C9E96F">
      <w:pPr>
        <w:widowControl/>
        <w:jc w:val="center"/>
        <w:rPr>
          <w:rFonts w:ascii="黑体" w:hAnsi="黑体" w:eastAsia="黑体"/>
          <w:sz w:val="28"/>
          <w:szCs w:val="28"/>
        </w:rPr>
      </w:pPr>
      <w:r>
        <w:rPr>
          <w:rFonts w:ascii="黑体" w:hAnsi="黑体" w:eastAsia="黑体"/>
          <w:sz w:val="48"/>
          <w:szCs w:val="48"/>
        </w:rPr>
        <w:fldChar w:fldCharType="begin"/>
      </w:r>
      <w:r>
        <w:rPr>
          <w:rFonts w:ascii="黑体" w:hAnsi="黑体" w:eastAsia="黑体"/>
          <w:sz w:val="48"/>
          <w:szCs w:val="48"/>
        </w:rPr>
        <w:instrText xml:space="preserve"> TOC \o "1-2" \h \z \u </w:instrText>
      </w:r>
      <w:r>
        <w:rPr>
          <w:rFonts w:ascii="黑体" w:hAnsi="黑体" w:eastAsia="黑体"/>
          <w:sz w:val="48"/>
          <w:szCs w:val="48"/>
        </w:rPr>
        <w:fldChar w:fldCharType="separate"/>
      </w:r>
    </w:p>
    <w:p w14:paraId="7188EFBA">
      <w:pPr>
        <w:pStyle w:val="10"/>
      </w:pPr>
      <w:r>
        <w:rPr>
          <w:rFonts w:hint="eastAsia"/>
        </w:rPr>
        <w:t>公开时间：</w:t>
      </w:r>
      <w:r>
        <w:t>2019</w:t>
      </w:r>
      <w:r>
        <w:rPr>
          <w:rFonts w:hint="eastAsia"/>
        </w:rPr>
        <w:t>年</w:t>
      </w:r>
      <w:r>
        <w:t>9</w:t>
      </w:r>
      <w:r>
        <w:rPr>
          <w:rFonts w:hint="eastAsia"/>
        </w:rPr>
        <w:t>月</w:t>
      </w:r>
      <w:r>
        <w:t>17</w:t>
      </w:r>
      <w:r>
        <w:rPr>
          <w:rFonts w:hint="eastAsia"/>
        </w:rPr>
        <w:t>日</w:t>
      </w:r>
    </w:p>
    <w:p w14:paraId="2C8A2764"/>
    <w:p w14:paraId="72C239B8">
      <w:pPr>
        <w:pStyle w:val="10"/>
      </w:pPr>
      <w:r>
        <w:fldChar w:fldCharType="begin"/>
      </w:r>
      <w:r>
        <w:instrText xml:space="preserve"> HYPERLINK \l "_Toc15396599" </w:instrText>
      </w:r>
      <w:r>
        <w:fldChar w:fldCharType="separate"/>
      </w:r>
      <w:r>
        <w:rPr>
          <w:rStyle w:val="16"/>
          <w:rFonts w:hint="eastAsia"/>
          <w:color w:val="auto"/>
        </w:rPr>
        <w:t>第一部分部门概况</w:t>
      </w:r>
      <w:r>
        <w:tab/>
      </w:r>
      <w:r>
        <w:t>4</w:t>
      </w:r>
      <w:r>
        <w:fldChar w:fldCharType="end"/>
      </w:r>
    </w:p>
    <w:p w14:paraId="160E6084">
      <w:pPr>
        <w:pStyle w:val="11"/>
      </w:pPr>
      <w:r>
        <w:fldChar w:fldCharType="begin"/>
      </w:r>
      <w:r>
        <w:instrText xml:space="preserve"> HYPERLINK \l "_Toc15396600" </w:instrText>
      </w:r>
      <w:r>
        <w:fldChar w:fldCharType="separate"/>
      </w:r>
      <w:r>
        <w:rPr>
          <w:rStyle w:val="16"/>
          <w:rFonts w:hint="eastAsia"/>
          <w:color w:val="auto"/>
        </w:rPr>
        <w:t>一、基本职能及主要工作</w:t>
      </w:r>
      <w:r>
        <w:tab/>
      </w:r>
      <w:r>
        <w:t>4</w:t>
      </w:r>
      <w:r>
        <w:fldChar w:fldCharType="end"/>
      </w:r>
    </w:p>
    <w:p w14:paraId="0385C566">
      <w:pPr>
        <w:pStyle w:val="11"/>
      </w:pPr>
      <w:r>
        <w:fldChar w:fldCharType="begin"/>
      </w:r>
      <w:r>
        <w:instrText xml:space="preserve"> HYPERLINK \l "_Toc15396601" </w:instrText>
      </w:r>
      <w:r>
        <w:fldChar w:fldCharType="separate"/>
      </w:r>
      <w:r>
        <w:rPr>
          <w:rStyle w:val="16"/>
          <w:rFonts w:hint="eastAsia"/>
          <w:color w:val="auto"/>
        </w:rPr>
        <w:t>二、机构设置</w:t>
      </w:r>
      <w:r>
        <w:tab/>
      </w:r>
      <w:r>
        <w:fldChar w:fldCharType="begin"/>
      </w:r>
      <w:r>
        <w:instrText xml:space="preserve"> PAGEREF _Toc15396601 \h </w:instrText>
      </w:r>
      <w:r>
        <w:fldChar w:fldCharType="separate"/>
      </w:r>
      <w:r>
        <w:t>4</w:t>
      </w:r>
      <w:r>
        <w:fldChar w:fldCharType="end"/>
      </w:r>
      <w:r>
        <w:fldChar w:fldCharType="end"/>
      </w:r>
    </w:p>
    <w:p w14:paraId="2510F17A">
      <w:pPr>
        <w:pStyle w:val="10"/>
      </w:pPr>
      <w:r>
        <w:fldChar w:fldCharType="begin"/>
      </w:r>
      <w:r>
        <w:instrText xml:space="preserve"> HYPERLINK \l "_Toc15396602" </w:instrText>
      </w:r>
      <w:r>
        <w:fldChar w:fldCharType="separate"/>
      </w:r>
      <w:r>
        <w:rPr>
          <w:rStyle w:val="16"/>
          <w:rFonts w:hint="eastAsia"/>
          <w:color w:val="auto"/>
        </w:rPr>
        <w:t>第二部分</w:t>
      </w:r>
      <w:r>
        <w:rPr>
          <w:rStyle w:val="16"/>
          <w:color w:val="auto"/>
        </w:rPr>
        <w:t xml:space="preserve"> 2018</w:t>
      </w:r>
      <w:r>
        <w:rPr>
          <w:rStyle w:val="16"/>
          <w:rFonts w:hint="eastAsia"/>
          <w:color w:val="auto"/>
        </w:rPr>
        <w:t>年度部门决算情况说明</w:t>
      </w:r>
      <w:r>
        <w:tab/>
      </w:r>
      <w:r>
        <w:fldChar w:fldCharType="begin"/>
      </w:r>
      <w:r>
        <w:instrText xml:space="preserve"> PAGEREF _Toc15396602 \h </w:instrText>
      </w:r>
      <w:r>
        <w:fldChar w:fldCharType="separate"/>
      </w:r>
      <w:r>
        <w:t>5</w:t>
      </w:r>
      <w:r>
        <w:fldChar w:fldCharType="end"/>
      </w:r>
      <w:r>
        <w:fldChar w:fldCharType="end"/>
      </w:r>
    </w:p>
    <w:p w14:paraId="56FE6B5A">
      <w:pPr>
        <w:pStyle w:val="11"/>
      </w:pPr>
      <w:r>
        <w:fldChar w:fldCharType="begin"/>
      </w:r>
      <w:r>
        <w:instrText xml:space="preserve"> HYPERLINK \l "_Toc15396603" </w:instrText>
      </w:r>
      <w:r>
        <w:fldChar w:fldCharType="separate"/>
      </w:r>
      <w:r>
        <w:rPr>
          <w:rStyle w:val="16"/>
          <w:rFonts w:hint="eastAsia"/>
          <w:bCs/>
          <w:color w:val="auto"/>
        </w:rPr>
        <w:t>一、</w:t>
      </w:r>
      <w:r>
        <w:rPr>
          <w:rStyle w:val="16"/>
          <w:rFonts w:hint="eastAsia"/>
          <w:color w:val="auto"/>
        </w:rPr>
        <w:t>收</w:t>
      </w:r>
      <w:r>
        <w:rPr>
          <w:rStyle w:val="16"/>
          <w:rFonts w:hint="eastAsia"/>
          <w:bCs/>
          <w:color w:val="auto"/>
        </w:rPr>
        <w:t>入支出决算总体情况说明</w:t>
      </w:r>
      <w:r>
        <w:tab/>
      </w:r>
      <w:r>
        <w:fldChar w:fldCharType="begin"/>
      </w:r>
      <w:r>
        <w:instrText xml:space="preserve"> PAGEREF _Toc15396603 \h </w:instrText>
      </w:r>
      <w:r>
        <w:fldChar w:fldCharType="separate"/>
      </w:r>
      <w:r>
        <w:t>5</w:t>
      </w:r>
      <w:r>
        <w:fldChar w:fldCharType="end"/>
      </w:r>
      <w:r>
        <w:fldChar w:fldCharType="end"/>
      </w:r>
    </w:p>
    <w:p w14:paraId="669AB893">
      <w:pPr>
        <w:pStyle w:val="11"/>
      </w:pPr>
      <w:r>
        <w:fldChar w:fldCharType="begin"/>
      </w:r>
      <w:r>
        <w:instrText xml:space="preserve"> HYPERLINK \l "_Toc15396604" </w:instrText>
      </w:r>
      <w:r>
        <w:fldChar w:fldCharType="separate"/>
      </w:r>
      <w:r>
        <w:rPr>
          <w:rStyle w:val="16"/>
          <w:rFonts w:hint="eastAsia"/>
          <w:bCs/>
          <w:color w:val="auto"/>
        </w:rPr>
        <w:t>二、</w:t>
      </w:r>
      <w:r>
        <w:rPr>
          <w:rStyle w:val="16"/>
          <w:rFonts w:hint="eastAsia"/>
          <w:color w:val="auto"/>
        </w:rPr>
        <w:t>收</w:t>
      </w:r>
      <w:r>
        <w:rPr>
          <w:rStyle w:val="16"/>
          <w:rFonts w:hint="eastAsia"/>
          <w:bCs/>
          <w:color w:val="auto"/>
        </w:rPr>
        <w:t>入决算情况说明</w:t>
      </w:r>
      <w:r>
        <w:tab/>
      </w:r>
      <w:r>
        <w:fldChar w:fldCharType="begin"/>
      </w:r>
      <w:r>
        <w:instrText xml:space="preserve"> PAGEREF _Toc15396604 \h </w:instrText>
      </w:r>
      <w:r>
        <w:fldChar w:fldCharType="separate"/>
      </w:r>
      <w:r>
        <w:t>5</w:t>
      </w:r>
      <w:r>
        <w:fldChar w:fldCharType="end"/>
      </w:r>
      <w:r>
        <w:fldChar w:fldCharType="end"/>
      </w:r>
    </w:p>
    <w:p w14:paraId="606D3AB1">
      <w:pPr>
        <w:pStyle w:val="11"/>
      </w:pPr>
      <w:r>
        <w:fldChar w:fldCharType="begin"/>
      </w:r>
      <w:r>
        <w:instrText xml:space="preserve"> HYPERLINK \l "_Toc15396605" </w:instrText>
      </w:r>
      <w:r>
        <w:fldChar w:fldCharType="separate"/>
      </w:r>
      <w:r>
        <w:rPr>
          <w:rStyle w:val="16"/>
          <w:rFonts w:hint="eastAsia"/>
          <w:bCs/>
          <w:color w:val="auto"/>
        </w:rPr>
        <w:t>三、</w:t>
      </w:r>
      <w:r>
        <w:rPr>
          <w:rStyle w:val="16"/>
          <w:rFonts w:hint="eastAsia"/>
          <w:color w:val="auto"/>
        </w:rPr>
        <w:t>支</w:t>
      </w:r>
      <w:r>
        <w:rPr>
          <w:rStyle w:val="16"/>
          <w:rFonts w:hint="eastAsia"/>
          <w:bCs/>
          <w:color w:val="auto"/>
        </w:rPr>
        <w:t>出决算情况说明</w:t>
      </w:r>
      <w:r>
        <w:tab/>
      </w:r>
      <w:r>
        <w:fldChar w:fldCharType="begin"/>
      </w:r>
      <w:r>
        <w:instrText xml:space="preserve"> PAGEREF _Toc15396605 \h </w:instrText>
      </w:r>
      <w:r>
        <w:fldChar w:fldCharType="separate"/>
      </w:r>
      <w:r>
        <w:t>5</w:t>
      </w:r>
      <w:r>
        <w:fldChar w:fldCharType="end"/>
      </w:r>
      <w:r>
        <w:fldChar w:fldCharType="end"/>
      </w:r>
    </w:p>
    <w:p w14:paraId="4C884D03">
      <w:pPr>
        <w:pStyle w:val="11"/>
      </w:pPr>
      <w:r>
        <w:fldChar w:fldCharType="begin"/>
      </w:r>
      <w:r>
        <w:instrText xml:space="preserve"> HYPERLINK \l "_Toc15396606" </w:instrText>
      </w:r>
      <w:r>
        <w:fldChar w:fldCharType="separate"/>
      </w:r>
      <w:r>
        <w:rPr>
          <w:rStyle w:val="16"/>
          <w:rFonts w:hint="eastAsia"/>
          <w:color w:val="auto"/>
        </w:rPr>
        <w:t>四、财</w:t>
      </w:r>
      <w:r>
        <w:rPr>
          <w:rStyle w:val="16"/>
          <w:rFonts w:hint="eastAsia"/>
          <w:bCs/>
          <w:color w:val="auto"/>
        </w:rPr>
        <w:t>政拨款收入支出决算总体情况说明</w:t>
      </w:r>
      <w:r>
        <w:tab/>
      </w:r>
      <w:r>
        <w:fldChar w:fldCharType="begin"/>
      </w:r>
      <w:r>
        <w:instrText xml:space="preserve"> PAGEREF _Toc15396606 \h </w:instrText>
      </w:r>
      <w:r>
        <w:fldChar w:fldCharType="separate"/>
      </w:r>
      <w:r>
        <w:t>6</w:t>
      </w:r>
      <w:r>
        <w:fldChar w:fldCharType="end"/>
      </w:r>
      <w:r>
        <w:fldChar w:fldCharType="end"/>
      </w:r>
    </w:p>
    <w:p w14:paraId="4B7393F0">
      <w:pPr>
        <w:pStyle w:val="11"/>
      </w:pPr>
      <w:r>
        <w:fldChar w:fldCharType="begin"/>
      </w:r>
      <w:r>
        <w:instrText xml:space="preserve"> HYPERLINK \l "_Toc15396607" </w:instrText>
      </w:r>
      <w:r>
        <w:fldChar w:fldCharType="separate"/>
      </w:r>
      <w:r>
        <w:rPr>
          <w:rStyle w:val="16"/>
          <w:rFonts w:hint="eastAsia"/>
          <w:color w:val="auto"/>
        </w:rPr>
        <w:t>五、一</w:t>
      </w:r>
      <w:r>
        <w:rPr>
          <w:rStyle w:val="16"/>
          <w:rFonts w:hint="eastAsia"/>
          <w:bCs/>
          <w:color w:val="auto"/>
        </w:rPr>
        <w:t>般公共预算财政拨款支出决算情况说明</w:t>
      </w:r>
      <w:r>
        <w:tab/>
      </w:r>
      <w:r>
        <w:fldChar w:fldCharType="begin"/>
      </w:r>
      <w:r>
        <w:instrText xml:space="preserve"> PAGEREF _Toc15396607 \h </w:instrText>
      </w:r>
      <w:r>
        <w:fldChar w:fldCharType="separate"/>
      </w:r>
      <w:r>
        <w:t>6</w:t>
      </w:r>
      <w:r>
        <w:fldChar w:fldCharType="end"/>
      </w:r>
      <w:r>
        <w:fldChar w:fldCharType="end"/>
      </w:r>
    </w:p>
    <w:p w14:paraId="162A1BDD">
      <w:pPr>
        <w:pStyle w:val="11"/>
      </w:pPr>
      <w:r>
        <w:fldChar w:fldCharType="begin"/>
      </w:r>
      <w:r>
        <w:instrText xml:space="preserve"> HYPERLINK \l "_Toc15396608" </w:instrText>
      </w:r>
      <w:r>
        <w:fldChar w:fldCharType="separate"/>
      </w:r>
      <w:r>
        <w:rPr>
          <w:rStyle w:val="16"/>
          <w:rFonts w:hint="eastAsia"/>
          <w:color w:val="auto"/>
        </w:rPr>
        <w:t>六、一</w:t>
      </w:r>
      <w:r>
        <w:rPr>
          <w:rStyle w:val="16"/>
          <w:rFonts w:hint="eastAsia"/>
          <w:bCs/>
          <w:color w:val="auto"/>
        </w:rPr>
        <w:t>般公共预算财政拨款基本支出决算情况说明</w:t>
      </w:r>
      <w:r>
        <w:tab/>
      </w:r>
      <w:r>
        <w:fldChar w:fldCharType="begin"/>
      </w:r>
      <w:r>
        <w:instrText xml:space="preserve"> PAGEREF _Toc15396608 \h </w:instrText>
      </w:r>
      <w:r>
        <w:fldChar w:fldCharType="separate"/>
      </w:r>
      <w:r>
        <w:t>8</w:t>
      </w:r>
      <w:r>
        <w:fldChar w:fldCharType="end"/>
      </w:r>
      <w:r>
        <w:fldChar w:fldCharType="end"/>
      </w:r>
    </w:p>
    <w:p w14:paraId="3BFD6A51">
      <w:pPr>
        <w:pStyle w:val="11"/>
      </w:pPr>
      <w:r>
        <w:fldChar w:fldCharType="begin"/>
      </w:r>
      <w:r>
        <w:instrText xml:space="preserve"> HYPERLINK \l "_Toc15396609" </w:instrText>
      </w:r>
      <w:r>
        <w:fldChar w:fldCharType="separate"/>
      </w:r>
      <w:r>
        <w:rPr>
          <w:rStyle w:val="16"/>
          <w:rFonts w:hint="eastAsia"/>
          <w:color w:val="auto"/>
        </w:rPr>
        <w:t>七、“</w:t>
      </w:r>
      <w:r>
        <w:rPr>
          <w:rStyle w:val="16"/>
          <w:rFonts w:hint="eastAsia"/>
          <w:bCs/>
          <w:color w:val="auto"/>
        </w:rPr>
        <w:t>三公”经费财政拨款支出决算情况说明</w:t>
      </w:r>
      <w:r>
        <w:tab/>
      </w:r>
      <w:r>
        <w:fldChar w:fldCharType="begin"/>
      </w:r>
      <w:r>
        <w:instrText xml:space="preserve"> PAGEREF _Toc15396609 \h </w:instrText>
      </w:r>
      <w:r>
        <w:fldChar w:fldCharType="separate"/>
      </w:r>
      <w:r>
        <w:t>9</w:t>
      </w:r>
      <w:r>
        <w:fldChar w:fldCharType="end"/>
      </w:r>
      <w:r>
        <w:fldChar w:fldCharType="end"/>
      </w:r>
    </w:p>
    <w:p w14:paraId="0AFD62CA">
      <w:pPr>
        <w:pStyle w:val="11"/>
      </w:pPr>
      <w:r>
        <w:fldChar w:fldCharType="begin"/>
      </w:r>
      <w:r>
        <w:instrText xml:space="preserve"> HYPERLINK \l "_Toc15396610" </w:instrText>
      </w:r>
      <w:r>
        <w:fldChar w:fldCharType="separate"/>
      </w:r>
      <w:r>
        <w:rPr>
          <w:rStyle w:val="16"/>
          <w:rFonts w:hint="eastAsia"/>
          <w:color w:val="auto"/>
        </w:rPr>
        <w:t>八、</w:t>
      </w:r>
      <w:r>
        <w:rPr>
          <w:rStyle w:val="16"/>
          <w:rFonts w:hint="eastAsia"/>
          <w:bCs/>
          <w:color w:val="auto"/>
        </w:rPr>
        <w:t>政府性基金预算支出决算情况说明</w:t>
      </w:r>
      <w:r>
        <w:tab/>
      </w:r>
      <w:r>
        <w:fldChar w:fldCharType="begin"/>
      </w:r>
      <w:r>
        <w:instrText xml:space="preserve"> PAGEREF _Toc15396610 \h </w:instrText>
      </w:r>
      <w:r>
        <w:fldChar w:fldCharType="separate"/>
      </w:r>
      <w:r>
        <w:t>10</w:t>
      </w:r>
      <w:r>
        <w:fldChar w:fldCharType="end"/>
      </w:r>
      <w:r>
        <w:fldChar w:fldCharType="end"/>
      </w:r>
    </w:p>
    <w:p w14:paraId="52925FFE">
      <w:pPr>
        <w:pStyle w:val="11"/>
      </w:pPr>
      <w:r>
        <w:fldChar w:fldCharType="begin"/>
      </w:r>
      <w:r>
        <w:instrText xml:space="preserve"> HYPERLINK \l "_Toc15396611" </w:instrText>
      </w:r>
      <w:r>
        <w:fldChar w:fldCharType="separate"/>
      </w:r>
      <w:r>
        <w:rPr>
          <w:rStyle w:val="16"/>
          <w:rFonts w:hint="eastAsia"/>
          <w:bCs/>
          <w:color w:val="auto"/>
        </w:rPr>
        <w:t>九、</w:t>
      </w:r>
      <w:r>
        <w:rPr>
          <w:rStyle w:val="16"/>
          <w:color w:val="auto"/>
        </w:rPr>
        <w:t xml:space="preserve"> </w:t>
      </w:r>
      <w:r>
        <w:rPr>
          <w:rStyle w:val="16"/>
          <w:rFonts w:hint="eastAsia"/>
          <w:color w:val="auto"/>
        </w:rPr>
        <w:t>国</w:t>
      </w:r>
      <w:r>
        <w:rPr>
          <w:rStyle w:val="16"/>
          <w:rFonts w:hint="eastAsia"/>
          <w:bCs/>
          <w:color w:val="auto"/>
        </w:rPr>
        <w:t>有资本经营预算支出决算情况说明</w:t>
      </w:r>
      <w:r>
        <w:tab/>
      </w:r>
      <w:r>
        <w:fldChar w:fldCharType="begin"/>
      </w:r>
      <w:r>
        <w:instrText xml:space="preserve"> PAGEREF _Toc15396611 \h </w:instrText>
      </w:r>
      <w:r>
        <w:fldChar w:fldCharType="separate"/>
      </w:r>
      <w:r>
        <w:t>10</w:t>
      </w:r>
      <w:r>
        <w:fldChar w:fldCharType="end"/>
      </w:r>
      <w:r>
        <w:fldChar w:fldCharType="end"/>
      </w:r>
    </w:p>
    <w:p w14:paraId="2C6C5A11">
      <w:pPr>
        <w:pStyle w:val="11"/>
        <w:rPr>
          <w:rStyle w:val="16"/>
          <w:bCs/>
          <w:color w:val="auto"/>
          <w:u w:val="none"/>
        </w:rPr>
      </w:pPr>
      <w:r>
        <w:rPr>
          <w:rStyle w:val="16"/>
          <w:rFonts w:hint="eastAsia"/>
          <w:bCs/>
          <w:color w:val="auto"/>
          <w:u w:val="none"/>
        </w:rPr>
        <w:t>十、</w:t>
      </w:r>
      <w:r>
        <w:rPr>
          <w:rStyle w:val="16"/>
          <w:bCs/>
          <w:color w:val="auto"/>
          <w:u w:val="none"/>
        </w:rPr>
        <w:t xml:space="preserve"> </w:t>
      </w:r>
      <w:r>
        <w:rPr>
          <w:rStyle w:val="16"/>
          <w:rFonts w:hint="eastAsia"/>
          <w:bCs/>
          <w:color w:val="auto"/>
          <w:u w:val="none"/>
        </w:rPr>
        <w:t>预算绩效情况说明</w:t>
      </w:r>
      <w:r>
        <w:rPr>
          <w:rStyle w:val="16"/>
          <w:bCs/>
          <w:color w:val="auto"/>
          <w:u w:val="none"/>
        </w:rPr>
        <w:tab/>
      </w:r>
      <w:r>
        <w:rPr>
          <w:rStyle w:val="16"/>
          <w:bCs/>
          <w:color w:val="auto"/>
          <w:u w:val="none"/>
        </w:rPr>
        <w:fldChar w:fldCharType="begin"/>
      </w:r>
      <w:r>
        <w:rPr>
          <w:rStyle w:val="16"/>
          <w:bCs/>
          <w:color w:val="auto"/>
          <w:u w:val="none"/>
        </w:rPr>
        <w:instrText xml:space="preserve"> PAGEREF _Toc15396611 \h </w:instrText>
      </w:r>
      <w:r>
        <w:rPr>
          <w:rStyle w:val="16"/>
          <w:bCs/>
          <w:color w:val="auto"/>
          <w:u w:val="none"/>
        </w:rPr>
        <w:fldChar w:fldCharType="separate"/>
      </w:r>
      <w:r>
        <w:rPr>
          <w:rStyle w:val="16"/>
          <w:bCs/>
          <w:color w:val="auto"/>
          <w:u w:val="none"/>
        </w:rPr>
        <w:t>11</w:t>
      </w:r>
      <w:r>
        <w:rPr>
          <w:rStyle w:val="16"/>
          <w:bCs/>
          <w:color w:val="auto"/>
          <w:u w:val="none"/>
        </w:rPr>
        <w:fldChar w:fldCharType="end"/>
      </w:r>
    </w:p>
    <w:p w14:paraId="349037DA">
      <w:pPr>
        <w:pStyle w:val="11"/>
      </w:pPr>
      <w:r>
        <w:fldChar w:fldCharType="begin"/>
      </w:r>
      <w:r>
        <w:instrText xml:space="preserve"> HYPERLINK \l "_Toc15396612" </w:instrText>
      </w:r>
      <w:r>
        <w:fldChar w:fldCharType="separate"/>
      </w:r>
      <w:r>
        <w:rPr>
          <w:rStyle w:val="16"/>
          <w:rFonts w:hint="eastAsia"/>
          <w:color w:val="auto"/>
        </w:rPr>
        <w:t>十</w:t>
      </w:r>
      <w:r>
        <w:rPr>
          <w:rStyle w:val="16"/>
          <w:rFonts w:hint="eastAsia"/>
          <w:bCs/>
          <w:color w:val="auto"/>
        </w:rPr>
        <w:t>一、其他重要事项的情况说明</w:t>
      </w:r>
      <w:r>
        <w:tab/>
      </w:r>
      <w:r>
        <w:fldChar w:fldCharType="begin"/>
      </w:r>
      <w:r>
        <w:instrText xml:space="preserve"> PAGEREF _Toc15396612 \h </w:instrText>
      </w:r>
      <w:r>
        <w:fldChar w:fldCharType="separate"/>
      </w:r>
      <w:r>
        <w:t>14</w:t>
      </w:r>
      <w:r>
        <w:fldChar w:fldCharType="end"/>
      </w:r>
      <w:r>
        <w:fldChar w:fldCharType="end"/>
      </w:r>
    </w:p>
    <w:p w14:paraId="77A57AD8">
      <w:pPr>
        <w:pStyle w:val="10"/>
      </w:pPr>
      <w:r>
        <w:fldChar w:fldCharType="begin"/>
      </w:r>
      <w:r>
        <w:instrText xml:space="preserve"> HYPERLINK \l "_Toc15396613" </w:instrText>
      </w:r>
      <w:r>
        <w:fldChar w:fldCharType="separate"/>
      </w:r>
      <w:r>
        <w:rPr>
          <w:rStyle w:val="16"/>
          <w:rFonts w:hint="eastAsia"/>
          <w:bCs/>
          <w:color w:val="auto"/>
          <w:kern w:val="44"/>
        </w:rPr>
        <w:t>第三部分</w:t>
      </w:r>
      <w:r>
        <w:rPr>
          <w:rStyle w:val="16"/>
          <w:color w:val="auto"/>
        </w:rPr>
        <w:t xml:space="preserve"> </w:t>
      </w:r>
      <w:r>
        <w:rPr>
          <w:rStyle w:val="16"/>
          <w:rFonts w:hint="eastAsia"/>
          <w:color w:val="auto"/>
        </w:rPr>
        <w:t>名</w:t>
      </w:r>
      <w:r>
        <w:rPr>
          <w:rStyle w:val="16"/>
          <w:rFonts w:hint="eastAsia"/>
          <w:bCs/>
          <w:color w:val="auto"/>
          <w:kern w:val="44"/>
        </w:rPr>
        <w:t>词解释</w:t>
      </w:r>
      <w:r>
        <w:tab/>
      </w:r>
      <w:r>
        <w:fldChar w:fldCharType="begin"/>
      </w:r>
      <w:r>
        <w:instrText xml:space="preserve"> PAGEREF _Toc15396613 \h </w:instrText>
      </w:r>
      <w:r>
        <w:fldChar w:fldCharType="separate"/>
      </w:r>
      <w:r>
        <w:t>16</w:t>
      </w:r>
      <w:r>
        <w:fldChar w:fldCharType="end"/>
      </w:r>
      <w:r>
        <w:fldChar w:fldCharType="end"/>
      </w:r>
    </w:p>
    <w:p w14:paraId="16F8EABA">
      <w:pPr>
        <w:pStyle w:val="10"/>
      </w:pPr>
      <w:r>
        <w:fldChar w:fldCharType="begin"/>
      </w:r>
      <w:r>
        <w:instrText xml:space="preserve"> HYPERLINK \l "_Toc15396614" </w:instrText>
      </w:r>
      <w:r>
        <w:fldChar w:fldCharType="separate"/>
      </w:r>
      <w:r>
        <w:rPr>
          <w:rStyle w:val="16"/>
          <w:rFonts w:hint="eastAsia"/>
          <w:color w:val="auto"/>
        </w:rPr>
        <w:t>第</w:t>
      </w:r>
      <w:r>
        <w:rPr>
          <w:rStyle w:val="16"/>
          <w:rFonts w:hint="eastAsia"/>
          <w:bCs/>
          <w:color w:val="auto"/>
          <w:kern w:val="44"/>
        </w:rPr>
        <w:t>四部分附件</w:t>
      </w:r>
      <w:r>
        <w:tab/>
      </w:r>
      <w:r>
        <w:fldChar w:fldCharType="begin"/>
      </w:r>
      <w:r>
        <w:instrText xml:space="preserve"> PAGEREF _Toc15396614 \h </w:instrText>
      </w:r>
      <w:r>
        <w:fldChar w:fldCharType="separate"/>
      </w:r>
      <w:r>
        <w:t>19</w:t>
      </w:r>
      <w:r>
        <w:fldChar w:fldCharType="end"/>
      </w:r>
      <w:r>
        <w:fldChar w:fldCharType="end"/>
      </w:r>
    </w:p>
    <w:p w14:paraId="713B3639">
      <w:pPr>
        <w:pStyle w:val="11"/>
      </w:pPr>
      <w:r>
        <w:fldChar w:fldCharType="begin"/>
      </w:r>
      <w:r>
        <w:instrText xml:space="preserve"> HYPERLINK \l "_Toc15396615" </w:instrText>
      </w:r>
      <w:r>
        <w:fldChar w:fldCharType="separate"/>
      </w:r>
      <w:r>
        <w:rPr>
          <w:rStyle w:val="16"/>
          <w:rFonts w:hint="eastAsia"/>
          <w:color w:val="auto"/>
          <w:kern w:val="44"/>
        </w:rPr>
        <w:t>附件</w:t>
      </w:r>
      <w:r>
        <w:rPr>
          <w:rStyle w:val="16"/>
          <w:color w:val="auto"/>
          <w:kern w:val="44"/>
        </w:rPr>
        <w:t>1</w:t>
      </w:r>
      <w:r>
        <w:tab/>
      </w:r>
      <w:r>
        <w:fldChar w:fldCharType="begin"/>
      </w:r>
      <w:r>
        <w:instrText xml:space="preserve"> PAGEREF _Toc15396615 \h </w:instrText>
      </w:r>
      <w:r>
        <w:fldChar w:fldCharType="separate"/>
      </w:r>
      <w:r>
        <w:t>19</w:t>
      </w:r>
      <w:r>
        <w:fldChar w:fldCharType="end"/>
      </w:r>
      <w:r>
        <w:fldChar w:fldCharType="end"/>
      </w:r>
    </w:p>
    <w:p w14:paraId="31D754F4">
      <w:pPr>
        <w:pStyle w:val="11"/>
      </w:pPr>
      <w:r>
        <w:fldChar w:fldCharType="begin"/>
      </w:r>
      <w:r>
        <w:instrText xml:space="preserve"> HYPERLINK \l "_Toc15396617" </w:instrText>
      </w:r>
      <w:r>
        <w:fldChar w:fldCharType="separate"/>
      </w:r>
      <w:r>
        <w:rPr>
          <w:rStyle w:val="16"/>
          <w:rFonts w:hint="eastAsia"/>
          <w:color w:val="auto"/>
          <w:kern w:val="44"/>
        </w:rPr>
        <w:t>附件</w:t>
      </w:r>
      <w:r>
        <w:rPr>
          <w:rStyle w:val="16"/>
          <w:color w:val="auto"/>
          <w:kern w:val="44"/>
        </w:rPr>
        <w:t>2</w:t>
      </w:r>
      <w:r>
        <w:tab/>
      </w:r>
      <w:r>
        <w:fldChar w:fldCharType="begin"/>
      </w:r>
      <w:r>
        <w:instrText xml:space="preserve"> PAGEREF _Toc15396617 \h </w:instrText>
      </w:r>
      <w:r>
        <w:fldChar w:fldCharType="separate"/>
      </w:r>
      <w:r>
        <w:t>21</w:t>
      </w:r>
      <w:r>
        <w:fldChar w:fldCharType="end"/>
      </w:r>
      <w:r>
        <w:fldChar w:fldCharType="end"/>
      </w:r>
    </w:p>
    <w:p w14:paraId="6BA32E3B">
      <w:pPr>
        <w:pStyle w:val="10"/>
      </w:pPr>
      <w:r>
        <w:fldChar w:fldCharType="begin"/>
      </w:r>
      <w:r>
        <w:instrText xml:space="preserve"> HYPERLINK \l "_Toc15396618" </w:instrText>
      </w:r>
      <w:r>
        <w:fldChar w:fldCharType="separate"/>
      </w:r>
      <w:r>
        <w:rPr>
          <w:rStyle w:val="16"/>
          <w:rFonts w:hint="eastAsia"/>
          <w:color w:val="auto"/>
        </w:rPr>
        <w:t>第</w:t>
      </w:r>
      <w:r>
        <w:rPr>
          <w:rStyle w:val="16"/>
          <w:rFonts w:hint="eastAsia"/>
          <w:bCs/>
          <w:color w:val="auto"/>
          <w:kern w:val="44"/>
        </w:rPr>
        <w:t>五部分附表</w:t>
      </w:r>
      <w:r>
        <w:tab/>
      </w:r>
      <w:r>
        <w:fldChar w:fldCharType="begin"/>
      </w:r>
      <w:r>
        <w:instrText xml:space="preserve"> PAGEREF _Toc15396618 \h </w:instrText>
      </w:r>
      <w:r>
        <w:fldChar w:fldCharType="separate"/>
      </w:r>
      <w:r>
        <w:t>22</w:t>
      </w:r>
      <w:r>
        <w:fldChar w:fldCharType="end"/>
      </w:r>
      <w:r>
        <w:fldChar w:fldCharType="end"/>
      </w:r>
    </w:p>
    <w:p w14:paraId="0B85E9D5">
      <w:pPr>
        <w:pStyle w:val="11"/>
      </w:pPr>
      <w:r>
        <w:rPr>
          <w:rFonts w:hint="eastAsia"/>
        </w:rPr>
        <w:t>一、</w:t>
      </w:r>
      <w:r>
        <w:fldChar w:fldCharType="begin"/>
      </w:r>
      <w:r>
        <w:instrText xml:space="preserve"> HYPERLINK \l "_Toc15396619" </w:instrText>
      </w:r>
      <w:r>
        <w:fldChar w:fldCharType="separate"/>
      </w:r>
      <w:r>
        <w:rPr>
          <w:rStyle w:val="16"/>
          <w:rFonts w:hint="eastAsia"/>
          <w:color w:val="auto"/>
        </w:rPr>
        <w:t>收入支出决算总表</w:t>
      </w:r>
      <w:r>
        <w:tab/>
      </w:r>
      <w:r>
        <w:fldChar w:fldCharType="begin"/>
      </w:r>
      <w:r>
        <w:instrText xml:space="preserve"> PAGEREF _Toc15396619 \h </w:instrText>
      </w:r>
      <w:r>
        <w:fldChar w:fldCharType="separate"/>
      </w:r>
      <w:r>
        <w:t>22</w:t>
      </w:r>
      <w:r>
        <w:fldChar w:fldCharType="end"/>
      </w:r>
      <w:r>
        <w:fldChar w:fldCharType="end"/>
      </w:r>
    </w:p>
    <w:p w14:paraId="3B0FB227">
      <w:pPr>
        <w:pStyle w:val="11"/>
      </w:pPr>
      <w:r>
        <w:rPr>
          <w:rFonts w:hint="eastAsia"/>
        </w:rPr>
        <w:t>二、</w:t>
      </w:r>
      <w:r>
        <w:fldChar w:fldCharType="begin"/>
      </w:r>
      <w:r>
        <w:instrText xml:space="preserve"> HYPERLINK \l "_Toc15396620" </w:instrText>
      </w:r>
      <w:r>
        <w:fldChar w:fldCharType="separate"/>
      </w:r>
      <w:r>
        <w:rPr>
          <w:rStyle w:val="16"/>
          <w:rFonts w:hint="eastAsia"/>
          <w:color w:val="auto"/>
        </w:rPr>
        <w:t>收入总表</w:t>
      </w:r>
      <w:r>
        <w:tab/>
      </w:r>
      <w:r>
        <w:fldChar w:fldCharType="begin"/>
      </w:r>
      <w:r>
        <w:instrText xml:space="preserve"> PAGEREF _Toc15396620 \h </w:instrText>
      </w:r>
      <w:r>
        <w:fldChar w:fldCharType="separate"/>
      </w:r>
      <w:r>
        <w:t>22</w:t>
      </w:r>
      <w:r>
        <w:fldChar w:fldCharType="end"/>
      </w:r>
      <w:r>
        <w:fldChar w:fldCharType="end"/>
      </w:r>
    </w:p>
    <w:p w14:paraId="616AB0DC">
      <w:pPr>
        <w:pStyle w:val="11"/>
      </w:pPr>
      <w:r>
        <w:rPr>
          <w:rFonts w:hint="eastAsia"/>
        </w:rPr>
        <w:t>三、</w:t>
      </w:r>
      <w:r>
        <w:fldChar w:fldCharType="begin"/>
      </w:r>
      <w:r>
        <w:instrText xml:space="preserve"> HYPERLINK \l "_Toc15396621" </w:instrText>
      </w:r>
      <w:r>
        <w:fldChar w:fldCharType="separate"/>
      </w:r>
      <w:r>
        <w:rPr>
          <w:rStyle w:val="16"/>
          <w:rFonts w:hint="eastAsia"/>
          <w:color w:val="auto"/>
        </w:rPr>
        <w:t>支出总表</w:t>
      </w:r>
      <w:r>
        <w:tab/>
      </w:r>
      <w:r>
        <w:fldChar w:fldCharType="begin"/>
      </w:r>
      <w:r>
        <w:instrText xml:space="preserve"> PAGEREF _Toc15396621 \h </w:instrText>
      </w:r>
      <w:r>
        <w:fldChar w:fldCharType="separate"/>
      </w:r>
      <w:r>
        <w:t>22</w:t>
      </w:r>
      <w:r>
        <w:fldChar w:fldCharType="end"/>
      </w:r>
      <w:r>
        <w:fldChar w:fldCharType="end"/>
      </w:r>
    </w:p>
    <w:p w14:paraId="5656438C">
      <w:pPr>
        <w:pStyle w:val="11"/>
      </w:pPr>
      <w:r>
        <w:rPr>
          <w:rFonts w:hint="eastAsia"/>
        </w:rPr>
        <w:t>四、</w:t>
      </w:r>
      <w:r>
        <w:fldChar w:fldCharType="begin"/>
      </w:r>
      <w:r>
        <w:instrText xml:space="preserve"> HYPERLINK \l "_Toc15396622" </w:instrText>
      </w:r>
      <w:r>
        <w:fldChar w:fldCharType="separate"/>
      </w:r>
      <w:r>
        <w:rPr>
          <w:rStyle w:val="16"/>
          <w:rFonts w:hint="eastAsia"/>
          <w:color w:val="auto"/>
        </w:rPr>
        <w:t>财政拨款收入支出决算总表</w:t>
      </w:r>
      <w:r>
        <w:tab/>
      </w:r>
      <w:r>
        <w:fldChar w:fldCharType="begin"/>
      </w:r>
      <w:r>
        <w:instrText xml:space="preserve"> PAGEREF _Toc15396622 \h </w:instrText>
      </w:r>
      <w:r>
        <w:fldChar w:fldCharType="separate"/>
      </w:r>
      <w:r>
        <w:t>22</w:t>
      </w:r>
      <w:r>
        <w:fldChar w:fldCharType="end"/>
      </w:r>
      <w:r>
        <w:fldChar w:fldCharType="end"/>
      </w:r>
    </w:p>
    <w:p w14:paraId="5D2E19CC">
      <w:pPr>
        <w:pStyle w:val="11"/>
      </w:pPr>
      <w:r>
        <w:rPr>
          <w:rFonts w:hint="eastAsia"/>
        </w:rPr>
        <w:t>五、</w:t>
      </w:r>
      <w:r>
        <w:fldChar w:fldCharType="begin"/>
      </w:r>
      <w:r>
        <w:instrText xml:space="preserve"> HYPERLINK \l "_Toc15396623" </w:instrText>
      </w:r>
      <w:r>
        <w:fldChar w:fldCharType="separate"/>
      </w:r>
      <w:r>
        <w:rPr>
          <w:rFonts w:hint="eastAsia"/>
        </w:rPr>
        <w:t>财政拨款支出决算明细表（政府经济分类科目）</w:t>
      </w:r>
      <w:r>
        <w:tab/>
      </w:r>
      <w:r>
        <w:fldChar w:fldCharType="begin"/>
      </w:r>
      <w:r>
        <w:instrText xml:space="preserve"> PAGEREF _Toc15396623 \h </w:instrText>
      </w:r>
      <w:r>
        <w:fldChar w:fldCharType="separate"/>
      </w:r>
      <w:r>
        <w:t>22</w:t>
      </w:r>
      <w:r>
        <w:fldChar w:fldCharType="end"/>
      </w:r>
      <w:r>
        <w:fldChar w:fldCharType="end"/>
      </w:r>
    </w:p>
    <w:p w14:paraId="71E60357">
      <w:pPr>
        <w:pStyle w:val="11"/>
      </w:pPr>
      <w:r>
        <w:rPr>
          <w:rFonts w:hint="eastAsia"/>
        </w:rPr>
        <w:t>六、</w:t>
      </w:r>
      <w:r>
        <w:fldChar w:fldCharType="begin"/>
      </w:r>
      <w:r>
        <w:instrText xml:space="preserve"> HYPERLINK \l "_Toc15396624" </w:instrText>
      </w:r>
      <w:r>
        <w:fldChar w:fldCharType="separate"/>
      </w:r>
      <w:r>
        <w:rPr>
          <w:rStyle w:val="16"/>
          <w:rFonts w:hint="eastAsia"/>
          <w:color w:val="auto"/>
        </w:rPr>
        <w:t>一般公共预算财政拨款支出决算表</w:t>
      </w:r>
      <w:r>
        <w:tab/>
      </w:r>
      <w:r>
        <w:fldChar w:fldCharType="begin"/>
      </w:r>
      <w:r>
        <w:instrText xml:space="preserve"> PAGEREF _Toc15396624 \h </w:instrText>
      </w:r>
      <w:r>
        <w:fldChar w:fldCharType="separate"/>
      </w:r>
      <w:r>
        <w:t>22</w:t>
      </w:r>
      <w:r>
        <w:fldChar w:fldCharType="end"/>
      </w:r>
      <w:r>
        <w:fldChar w:fldCharType="end"/>
      </w:r>
    </w:p>
    <w:p w14:paraId="32DBE351">
      <w:pPr>
        <w:pStyle w:val="11"/>
      </w:pPr>
      <w:r>
        <w:rPr>
          <w:rFonts w:hint="eastAsia"/>
        </w:rPr>
        <w:t>七、</w:t>
      </w:r>
      <w:r>
        <w:fldChar w:fldCharType="begin"/>
      </w:r>
      <w:r>
        <w:instrText xml:space="preserve"> HYPERLINK \l "_Toc15396625" </w:instrText>
      </w:r>
      <w:r>
        <w:fldChar w:fldCharType="separate"/>
      </w:r>
      <w:r>
        <w:rPr>
          <w:rStyle w:val="16"/>
          <w:rFonts w:hint="eastAsia"/>
          <w:color w:val="auto"/>
        </w:rPr>
        <w:t>一般公共预算财政拨款支出决算明细表</w:t>
      </w:r>
      <w:r>
        <w:tab/>
      </w:r>
      <w:r>
        <w:fldChar w:fldCharType="begin"/>
      </w:r>
      <w:r>
        <w:instrText xml:space="preserve"> PAGEREF _Toc15396625 \h </w:instrText>
      </w:r>
      <w:r>
        <w:fldChar w:fldCharType="separate"/>
      </w:r>
      <w:r>
        <w:t>22</w:t>
      </w:r>
      <w:r>
        <w:fldChar w:fldCharType="end"/>
      </w:r>
      <w:r>
        <w:fldChar w:fldCharType="end"/>
      </w:r>
    </w:p>
    <w:p w14:paraId="7E8125D7">
      <w:pPr>
        <w:pStyle w:val="11"/>
      </w:pPr>
      <w:r>
        <w:rPr>
          <w:rFonts w:hint="eastAsia"/>
        </w:rPr>
        <w:t>八、</w:t>
      </w:r>
      <w:r>
        <w:fldChar w:fldCharType="begin"/>
      </w:r>
      <w:r>
        <w:instrText xml:space="preserve"> HYPERLINK \l "_Toc15396626" </w:instrText>
      </w:r>
      <w:r>
        <w:fldChar w:fldCharType="separate"/>
      </w:r>
      <w:r>
        <w:rPr>
          <w:rStyle w:val="16"/>
          <w:rFonts w:hint="eastAsia"/>
          <w:color w:val="auto"/>
        </w:rPr>
        <w:t>一般公共预算财政拨款基本支出决算表</w:t>
      </w:r>
      <w:r>
        <w:tab/>
      </w:r>
      <w:r>
        <w:fldChar w:fldCharType="begin"/>
      </w:r>
      <w:r>
        <w:instrText xml:space="preserve"> PAGEREF _Toc15396626 \h </w:instrText>
      </w:r>
      <w:r>
        <w:fldChar w:fldCharType="separate"/>
      </w:r>
      <w:r>
        <w:t>22</w:t>
      </w:r>
      <w:r>
        <w:fldChar w:fldCharType="end"/>
      </w:r>
      <w:r>
        <w:fldChar w:fldCharType="end"/>
      </w:r>
    </w:p>
    <w:p w14:paraId="2826A901">
      <w:pPr>
        <w:pStyle w:val="11"/>
      </w:pPr>
      <w:r>
        <w:rPr>
          <w:rFonts w:hint="eastAsia"/>
        </w:rPr>
        <w:t>九、</w:t>
      </w:r>
      <w:r>
        <w:fldChar w:fldCharType="begin"/>
      </w:r>
      <w:r>
        <w:instrText xml:space="preserve"> HYPERLINK \l "_Toc15396627" </w:instrText>
      </w:r>
      <w:r>
        <w:fldChar w:fldCharType="separate"/>
      </w:r>
      <w:r>
        <w:rPr>
          <w:rStyle w:val="16"/>
          <w:rFonts w:hint="eastAsia"/>
          <w:color w:val="auto"/>
        </w:rPr>
        <w:t>一般公共预算财政拨款项目支出决算表</w:t>
      </w:r>
      <w:r>
        <w:tab/>
      </w:r>
      <w:r>
        <w:fldChar w:fldCharType="begin"/>
      </w:r>
      <w:r>
        <w:instrText xml:space="preserve"> PAGEREF _Toc15396627 \h </w:instrText>
      </w:r>
      <w:r>
        <w:fldChar w:fldCharType="separate"/>
      </w:r>
      <w:r>
        <w:t>22</w:t>
      </w:r>
      <w:r>
        <w:fldChar w:fldCharType="end"/>
      </w:r>
      <w:r>
        <w:fldChar w:fldCharType="end"/>
      </w:r>
    </w:p>
    <w:p w14:paraId="5B9D7642">
      <w:pPr>
        <w:pStyle w:val="11"/>
      </w:pPr>
      <w:r>
        <w:rPr>
          <w:rFonts w:hint="eastAsia"/>
        </w:rPr>
        <w:t>十、</w:t>
      </w:r>
      <w:r>
        <w:fldChar w:fldCharType="begin"/>
      </w:r>
      <w:r>
        <w:instrText xml:space="preserve"> HYPERLINK \l "_Toc15396628" </w:instrText>
      </w:r>
      <w:r>
        <w:fldChar w:fldCharType="separate"/>
      </w:r>
      <w:r>
        <w:rPr>
          <w:rStyle w:val="16"/>
          <w:rFonts w:hint="eastAsia"/>
          <w:color w:val="auto"/>
        </w:rPr>
        <w:t>一般公共预算财政拨款“三公”经费支出决算表</w:t>
      </w:r>
      <w:r>
        <w:tab/>
      </w:r>
      <w:r>
        <w:fldChar w:fldCharType="begin"/>
      </w:r>
      <w:r>
        <w:instrText xml:space="preserve"> PAGEREF _Toc15396628 \h </w:instrText>
      </w:r>
      <w:r>
        <w:fldChar w:fldCharType="separate"/>
      </w:r>
      <w:r>
        <w:t>22</w:t>
      </w:r>
      <w:r>
        <w:fldChar w:fldCharType="end"/>
      </w:r>
      <w:r>
        <w:fldChar w:fldCharType="end"/>
      </w:r>
    </w:p>
    <w:p w14:paraId="4D4AF8FF">
      <w:pPr>
        <w:pStyle w:val="11"/>
      </w:pPr>
      <w:r>
        <w:rPr>
          <w:rFonts w:hint="eastAsia"/>
        </w:rPr>
        <w:t>十一、</w:t>
      </w:r>
      <w:r>
        <w:fldChar w:fldCharType="begin"/>
      </w:r>
      <w:r>
        <w:instrText xml:space="preserve"> HYPERLINK \l "_Toc15396629" </w:instrText>
      </w:r>
      <w:r>
        <w:fldChar w:fldCharType="separate"/>
      </w:r>
      <w:r>
        <w:rPr>
          <w:rStyle w:val="16"/>
          <w:rFonts w:hint="eastAsia"/>
          <w:color w:val="auto"/>
        </w:rPr>
        <w:t>政府性基金预算财政拨款收入支出决算表</w:t>
      </w:r>
      <w:r>
        <w:tab/>
      </w:r>
      <w:r>
        <w:fldChar w:fldCharType="begin"/>
      </w:r>
      <w:r>
        <w:instrText xml:space="preserve"> PAGEREF _Toc15396629 \h </w:instrText>
      </w:r>
      <w:r>
        <w:fldChar w:fldCharType="separate"/>
      </w:r>
      <w:r>
        <w:t>22</w:t>
      </w:r>
      <w:r>
        <w:fldChar w:fldCharType="end"/>
      </w:r>
      <w:r>
        <w:fldChar w:fldCharType="end"/>
      </w:r>
    </w:p>
    <w:p w14:paraId="5897D97F">
      <w:pPr>
        <w:pStyle w:val="11"/>
      </w:pPr>
      <w:r>
        <w:rPr>
          <w:rFonts w:hint="eastAsia"/>
        </w:rPr>
        <w:t>十二、</w:t>
      </w:r>
      <w:r>
        <w:fldChar w:fldCharType="begin"/>
      </w:r>
      <w:r>
        <w:instrText xml:space="preserve"> HYPERLINK \l "_Toc15396630" </w:instrText>
      </w:r>
      <w:r>
        <w:fldChar w:fldCharType="separate"/>
      </w:r>
      <w:r>
        <w:rPr>
          <w:rStyle w:val="16"/>
          <w:rFonts w:hint="eastAsia"/>
          <w:color w:val="auto"/>
        </w:rPr>
        <w:t>政府性基金预算财政拨款“三公”经费支出决算表</w:t>
      </w:r>
      <w:r>
        <w:tab/>
      </w:r>
      <w:r>
        <w:fldChar w:fldCharType="begin"/>
      </w:r>
      <w:r>
        <w:instrText xml:space="preserve"> PAGEREF _Toc15396630 \h </w:instrText>
      </w:r>
      <w:r>
        <w:fldChar w:fldCharType="separate"/>
      </w:r>
      <w:r>
        <w:t>22</w:t>
      </w:r>
      <w:r>
        <w:fldChar w:fldCharType="end"/>
      </w:r>
      <w:r>
        <w:fldChar w:fldCharType="end"/>
      </w:r>
    </w:p>
    <w:p w14:paraId="5E9EF321">
      <w:pPr>
        <w:pStyle w:val="11"/>
        <w:rPr>
          <w:sz w:val="24"/>
        </w:rPr>
      </w:pPr>
      <w:r>
        <w:rPr>
          <w:rFonts w:hint="eastAsia"/>
        </w:rPr>
        <w:t>十三、</w:t>
      </w:r>
      <w:r>
        <w:fldChar w:fldCharType="begin"/>
      </w:r>
      <w:r>
        <w:instrText xml:space="preserve"> HYPERLINK \l "_Toc15396631" </w:instrText>
      </w:r>
      <w:r>
        <w:fldChar w:fldCharType="separate"/>
      </w:r>
      <w:r>
        <w:rPr>
          <w:rStyle w:val="16"/>
          <w:rFonts w:hint="eastAsia"/>
          <w:color w:val="auto"/>
        </w:rPr>
        <w:t>国有资本经营预算支出决算表</w:t>
      </w:r>
      <w:r>
        <w:tab/>
      </w:r>
      <w:r>
        <w:fldChar w:fldCharType="begin"/>
      </w:r>
      <w:r>
        <w:instrText xml:space="preserve"> PAGEREF _Toc15396631 \h </w:instrText>
      </w:r>
      <w:r>
        <w:fldChar w:fldCharType="separate"/>
      </w:r>
      <w:r>
        <w:t>22</w:t>
      </w:r>
      <w:r>
        <w:fldChar w:fldCharType="end"/>
      </w:r>
      <w:r>
        <w:fldChar w:fldCharType="end"/>
      </w:r>
    </w:p>
    <w:p w14:paraId="1F0B84A3">
      <w:pPr>
        <w:widowControl/>
        <w:jc w:val="left"/>
        <w:rPr>
          <w:rFonts w:ascii="仿宋" w:hAnsi="仿宋" w:eastAsia="仿宋"/>
          <w:sz w:val="24"/>
        </w:rPr>
      </w:pPr>
      <w:r>
        <w:rPr>
          <w:rFonts w:ascii="黑体" w:hAnsi="黑体" w:eastAsia="黑体"/>
          <w:sz w:val="48"/>
          <w:szCs w:val="48"/>
        </w:rPr>
        <w:fldChar w:fldCharType="end"/>
      </w:r>
    </w:p>
    <w:p w14:paraId="07185F02">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14:paraId="3B2CCEC3">
      <w:pPr>
        <w:pStyle w:val="2"/>
        <w:jc w:val="center"/>
        <w:rPr>
          <w:rStyle w:val="17"/>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部门概况</w:t>
      </w:r>
      <w:bookmarkEnd w:id="12"/>
      <w:bookmarkEnd w:id="13"/>
    </w:p>
    <w:p w14:paraId="6C97A47B">
      <w:pPr>
        <w:widowControl/>
        <w:jc w:val="left"/>
        <w:rPr>
          <w:rFonts w:ascii="黑体" w:eastAsia="黑体"/>
          <w:sz w:val="32"/>
          <w:szCs w:val="32"/>
        </w:rPr>
      </w:pPr>
    </w:p>
    <w:p w14:paraId="5A760442">
      <w:pPr>
        <w:pStyle w:val="3"/>
        <w:rPr>
          <w:rStyle w:val="18"/>
          <w:rFonts w:ascii="仿宋" w:hAnsi="仿宋" w:eastAsia="仿宋"/>
          <w:b w:val="0"/>
          <w:bCs w:val="0"/>
        </w:rPr>
      </w:pPr>
      <w:bookmarkStart w:id="14" w:name="_Toc15377197"/>
      <w:bookmarkStart w:id="15" w:name="_Toc15396600"/>
      <w:r>
        <w:rPr>
          <w:rFonts w:hint="eastAsia" w:ascii="黑体" w:hAnsi="黑体" w:eastAsia="黑体"/>
          <w:b w:val="0"/>
        </w:rPr>
        <w:t>一、基</w:t>
      </w:r>
      <w:r>
        <w:rPr>
          <w:rStyle w:val="18"/>
          <w:rFonts w:hint="eastAsia" w:ascii="黑体" w:hAnsi="黑体" w:eastAsia="黑体"/>
          <w:b w:val="0"/>
          <w:bCs w:val="0"/>
        </w:rPr>
        <w:t>本职能及主要工作</w:t>
      </w:r>
      <w:bookmarkEnd w:id="14"/>
      <w:bookmarkEnd w:id="15"/>
    </w:p>
    <w:p w14:paraId="1A3101AE">
      <w:pPr>
        <w:pStyle w:val="5"/>
        <w:adjustRightInd w:val="0"/>
        <w:snapToGrid w:val="0"/>
        <w:spacing w:before="93" w:line="600" w:lineRule="exact"/>
        <w:ind w:firstLine="672" w:firstLineChars="210"/>
        <w:outlineLvl w:val="2"/>
        <w:rPr>
          <w:rFonts w:ascii="仿宋" w:hAnsi="仿宋" w:eastAsia="仿宋"/>
          <w:bCs/>
          <w:sz w:val="32"/>
          <w:szCs w:val="32"/>
        </w:rPr>
      </w:pPr>
      <w:bookmarkStart w:id="16" w:name="_Toc15378445"/>
      <w:bookmarkStart w:id="17" w:name="_Toc15377198"/>
      <w:r>
        <w:rPr>
          <w:rFonts w:hint="eastAsia" w:ascii="仿宋" w:hAnsi="仿宋" w:eastAsia="仿宋"/>
          <w:bCs/>
          <w:sz w:val="32"/>
          <w:szCs w:val="32"/>
        </w:rPr>
        <w:t>（一）主要职能。</w:t>
      </w:r>
      <w:bookmarkEnd w:id="16"/>
      <w:bookmarkEnd w:id="17"/>
    </w:p>
    <w:p w14:paraId="6942DE9F">
      <w:pPr>
        <w:pStyle w:val="5"/>
        <w:adjustRightInd w:val="0"/>
        <w:snapToGrid w:val="0"/>
        <w:spacing w:before="93" w:line="600" w:lineRule="exact"/>
        <w:ind w:firstLine="588" w:firstLineChars="210"/>
        <w:rPr>
          <w:rFonts w:ascii="宋体" w:hAnsi="宋体" w:eastAsia="宋体"/>
          <w:bCs/>
          <w:sz w:val="56"/>
          <w:szCs w:val="32"/>
        </w:rPr>
      </w:pPr>
      <w:r>
        <w:rPr>
          <w:rFonts w:ascii="宋体" w:hAnsi="宋体" w:eastAsia="宋体" w:cs="Arial"/>
          <w:sz w:val="28"/>
          <w:szCs w:val="17"/>
          <w:shd w:val="clear" w:color="auto" w:fill="FFFFFF"/>
        </w:rPr>
        <w:t>1.贯彻执行国家、省有关国土资源的调控政策、措施和法律、法规，承担保护与合理利用土地资源、矿产资源的责任。2.承担规范国土管理秩序责任。3.承担优化配置国土资源的责任。4.负责规范国土资源权属管理。5.承担全市耕地保护的监督检查责任，确保耕地保有量和基本农田面积不减少。6.承担及时准确提供全市土地利用各种数据的责任。7.承担国土资源市场管理秩序的责任。8.承担节约集约利用标准，管理和监督城乡建设用地供应、政府土地储备、土地开发和节约集约利用。9.负责矿产资源开发的管理。10.负责地质勘查行业和矿产资源储备的管理。11.承担地质环境保护的责任，组织、协调、指导和监督地质灾害防治工作。12.依法征收土地、矿产资源收益，规范、监督资金使用，拟订土地、矿产资源参与经济调控的政策措施。13.具体承担市城区规划区内不动产登记经办工作。14.推进国土资源科技进步，组织开发对外合作与组织制订、实施国土资源科技发展、人才培养规划和计划等。15.负责管理县（区）国土管理部门领导班子和系统的党风廉政建设、行业作风建设。16.承担市政府公布的有关行政审批事项。17.承担市政府交办的其他事项。</w:t>
      </w:r>
    </w:p>
    <w:p w14:paraId="3BE6F9D4">
      <w:pPr>
        <w:pStyle w:val="5"/>
        <w:adjustRightInd w:val="0"/>
        <w:snapToGrid w:val="0"/>
        <w:spacing w:before="93" w:line="600" w:lineRule="exact"/>
        <w:ind w:firstLine="672" w:firstLineChars="210"/>
        <w:outlineLvl w:val="2"/>
        <w:rPr>
          <w:rFonts w:ascii="仿宋" w:hAnsi="仿宋" w:eastAsia="仿宋"/>
          <w:bCs/>
          <w:sz w:val="32"/>
          <w:szCs w:val="32"/>
        </w:rPr>
      </w:pPr>
      <w:bookmarkStart w:id="18" w:name="_Toc15377199"/>
      <w:bookmarkStart w:id="19" w:name="_Toc15378446"/>
      <w:r>
        <w:rPr>
          <w:rFonts w:hint="eastAsia" w:ascii="仿宋" w:hAnsi="仿宋" w:eastAsia="仿宋"/>
          <w:bCs/>
          <w:sz w:val="32"/>
          <w:szCs w:val="32"/>
        </w:rPr>
        <w:t>（二）</w:t>
      </w:r>
      <w:r>
        <w:rPr>
          <w:rFonts w:ascii="仿宋" w:hAnsi="仿宋" w:eastAsia="仿宋"/>
          <w:bCs/>
          <w:sz w:val="32"/>
          <w:szCs w:val="32"/>
        </w:rPr>
        <w:t>2018</w:t>
      </w:r>
      <w:r>
        <w:rPr>
          <w:rFonts w:hint="eastAsia" w:ascii="仿宋" w:hAnsi="仿宋" w:eastAsia="仿宋"/>
          <w:bCs/>
          <w:sz w:val="32"/>
          <w:szCs w:val="32"/>
        </w:rPr>
        <w:t>年重点工作完成情况。</w:t>
      </w:r>
      <w:bookmarkEnd w:id="18"/>
      <w:bookmarkEnd w:id="19"/>
    </w:p>
    <w:p w14:paraId="77162461">
      <w:pPr>
        <w:pStyle w:val="5"/>
        <w:adjustRightInd w:val="0"/>
        <w:snapToGrid w:val="0"/>
        <w:spacing w:before="93" w:line="600" w:lineRule="exact"/>
        <w:ind w:firstLine="691" w:firstLineChars="210"/>
        <w:outlineLvl w:val="2"/>
        <w:rPr>
          <w:rFonts w:ascii="仿宋" w:hAnsi="仿宋" w:eastAsia="仿宋"/>
          <w:spacing w:val="4"/>
          <w:sz w:val="32"/>
          <w:szCs w:val="32"/>
        </w:rPr>
      </w:pPr>
      <w:r>
        <w:rPr>
          <w:rFonts w:ascii="仿宋" w:hAnsi="仿宋" w:eastAsia="仿宋"/>
          <w:b/>
          <w:bCs/>
          <w:spacing w:val="4"/>
          <w:sz w:val="32"/>
          <w:szCs w:val="32"/>
        </w:rPr>
        <w:t>一是认真做好</w:t>
      </w:r>
      <w:r>
        <w:rPr>
          <w:rFonts w:hint="eastAsia" w:ascii="仿宋" w:hAnsi="仿宋" w:eastAsia="仿宋"/>
          <w:b/>
          <w:bCs/>
          <w:spacing w:val="4"/>
          <w:sz w:val="32"/>
          <w:szCs w:val="32"/>
        </w:rPr>
        <w:t>了</w:t>
      </w:r>
      <w:r>
        <w:rPr>
          <w:rFonts w:ascii="仿宋" w:hAnsi="仿宋" w:eastAsia="仿宋"/>
          <w:b/>
          <w:bCs/>
          <w:spacing w:val="4"/>
          <w:sz w:val="32"/>
          <w:szCs w:val="32"/>
        </w:rPr>
        <w:t>耕地和矿产资源保护工作。</w:t>
      </w:r>
      <w:r>
        <w:rPr>
          <w:rFonts w:ascii="仿宋" w:hAnsi="仿宋" w:eastAsia="仿宋"/>
          <w:spacing w:val="4"/>
          <w:sz w:val="32"/>
          <w:szCs w:val="32"/>
        </w:rPr>
        <w:t>全市全域划定永久基本农田23.19万公顷，并以此为契机提早为河东二期海绵城市、城南欧美产业园、凤台组团等项目发展和新区建设调出基本农田，预留发展空间。</w:t>
      </w:r>
    </w:p>
    <w:p w14:paraId="6A2D7707">
      <w:pPr>
        <w:widowControl/>
        <w:spacing w:line="600" w:lineRule="exact"/>
        <w:ind w:firstLine="659" w:firstLineChars="200"/>
        <w:jc w:val="left"/>
        <w:rPr>
          <w:rFonts w:ascii="仿宋" w:hAnsi="仿宋" w:eastAsia="仿宋"/>
          <w:spacing w:val="4"/>
          <w:sz w:val="32"/>
          <w:szCs w:val="32"/>
        </w:rPr>
      </w:pPr>
      <w:r>
        <w:rPr>
          <w:rFonts w:ascii="仿宋" w:hAnsi="仿宋" w:eastAsia="仿宋"/>
          <w:b/>
          <w:bCs/>
          <w:spacing w:val="4"/>
          <w:sz w:val="32"/>
          <w:szCs w:val="32"/>
        </w:rPr>
        <w:t>二是主动服务做好</w:t>
      </w:r>
      <w:r>
        <w:rPr>
          <w:rFonts w:hint="eastAsia" w:ascii="仿宋" w:hAnsi="仿宋" w:eastAsia="仿宋"/>
          <w:b/>
          <w:bCs/>
          <w:spacing w:val="4"/>
          <w:sz w:val="32"/>
          <w:szCs w:val="32"/>
        </w:rPr>
        <w:t>了</w:t>
      </w:r>
      <w:r>
        <w:rPr>
          <w:rFonts w:ascii="仿宋" w:hAnsi="仿宋" w:eastAsia="仿宋"/>
          <w:b/>
          <w:bCs/>
          <w:spacing w:val="4"/>
          <w:sz w:val="32"/>
          <w:szCs w:val="32"/>
        </w:rPr>
        <w:t>用地保障供应工作。</w:t>
      </w:r>
      <w:r>
        <w:rPr>
          <w:rFonts w:ascii="仿宋" w:hAnsi="仿宋" w:eastAsia="仿宋"/>
          <w:spacing w:val="4"/>
          <w:sz w:val="32"/>
          <w:szCs w:val="32"/>
        </w:rPr>
        <w:t>今年全市共报征土地44批次，面积785.4291公顷，取回征地批文29批次，面积499.0572公顷，有效保障了唐家渡电航工程、安居机场迁建、东盟食品产业加工园等165个省市重大项目用地。全年通过省厅终验增减挂钩项目7个，取得周转指标1943亩。全市共供应土地113宗，面积440.45公顷，实现土地出让价款90.77亿元，其中市本级出让土地21宗，实现价款31.09亿元。全市共清理处置低效工业用地8宗，面积221.38亩。全市2013—2017年土地批后供应率达到78.28%。</w:t>
      </w:r>
    </w:p>
    <w:p w14:paraId="259CF700">
      <w:pPr>
        <w:pStyle w:val="5"/>
        <w:adjustRightInd w:val="0"/>
        <w:snapToGrid w:val="0"/>
        <w:spacing w:before="93" w:line="600" w:lineRule="exact"/>
        <w:ind w:firstLine="691" w:firstLineChars="210"/>
        <w:outlineLvl w:val="2"/>
        <w:rPr>
          <w:rFonts w:ascii="仿宋" w:hAnsi="仿宋" w:eastAsia="仿宋"/>
          <w:spacing w:val="4"/>
          <w:sz w:val="32"/>
          <w:szCs w:val="32"/>
        </w:rPr>
      </w:pPr>
      <w:r>
        <w:rPr>
          <w:rFonts w:ascii="仿宋" w:hAnsi="仿宋" w:eastAsia="仿宋"/>
          <w:b/>
          <w:bCs/>
          <w:spacing w:val="4"/>
          <w:sz w:val="32"/>
          <w:szCs w:val="32"/>
        </w:rPr>
        <w:t>三是大力实施好国土资源惠民项目。</w:t>
      </w:r>
      <w:r>
        <w:rPr>
          <w:rFonts w:ascii="仿宋" w:hAnsi="仿宋" w:eastAsia="仿宋"/>
          <w:spacing w:val="4"/>
          <w:sz w:val="32"/>
          <w:szCs w:val="32"/>
        </w:rPr>
        <w:t>大力开展农村土地综合整治项目16个，总投资2.08亿元，建成高标准基本农田13.21万亩，实施农村土地综合整治专项扶贫项目11个，惠及39村5.37万群众。</w:t>
      </w:r>
    </w:p>
    <w:p w14:paraId="09941BD0">
      <w:pPr>
        <w:spacing w:line="600" w:lineRule="exact"/>
        <w:ind w:firstLine="659" w:firstLineChars="200"/>
        <w:rPr>
          <w:rFonts w:ascii="仿宋" w:hAnsi="仿宋" w:eastAsia="仿宋"/>
          <w:sz w:val="32"/>
          <w:szCs w:val="32"/>
        </w:rPr>
      </w:pPr>
      <w:r>
        <w:rPr>
          <w:rFonts w:hint="eastAsia" w:ascii="仿宋" w:hAnsi="仿宋" w:eastAsia="仿宋"/>
          <w:b/>
          <w:spacing w:val="4"/>
          <w:sz w:val="32"/>
          <w:szCs w:val="32"/>
        </w:rPr>
        <w:t>四</w:t>
      </w:r>
      <w:r>
        <w:rPr>
          <w:rFonts w:ascii="仿宋" w:hAnsi="仿宋" w:eastAsia="仿宋"/>
          <w:b/>
          <w:spacing w:val="4"/>
          <w:sz w:val="32"/>
          <w:szCs w:val="32"/>
        </w:rPr>
        <w:t>是牵头</w:t>
      </w:r>
      <w:r>
        <w:rPr>
          <w:rFonts w:ascii="仿宋" w:hAnsi="仿宋" w:eastAsia="仿宋"/>
          <w:b/>
          <w:bCs/>
          <w:spacing w:val="4"/>
          <w:sz w:val="32"/>
          <w:szCs w:val="32"/>
        </w:rPr>
        <w:t>开展农村土坯房整治工作。</w:t>
      </w:r>
      <w:r>
        <w:rPr>
          <w:rFonts w:ascii="仿宋" w:hAnsi="仿宋" w:eastAsia="仿宋"/>
          <w:bCs/>
          <w:spacing w:val="4"/>
          <w:sz w:val="32"/>
          <w:szCs w:val="32"/>
        </w:rPr>
        <w:t>我局在去年土坯房整治工作经验全省推广的基础上，今年</w:t>
      </w:r>
      <w:r>
        <w:rPr>
          <w:rFonts w:ascii="仿宋" w:hAnsi="仿宋" w:eastAsia="仿宋"/>
          <w:spacing w:val="4"/>
          <w:sz w:val="32"/>
          <w:szCs w:val="32"/>
        </w:rPr>
        <w:t>成功召开全市整治工作流动现场会，开展乡（镇）长整治业务培训班，</w:t>
      </w:r>
      <w:r>
        <w:rPr>
          <w:rFonts w:ascii="仿宋" w:hAnsi="仿宋" w:eastAsia="仿宋"/>
          <w:snapToGrid w:val="0"/>
          <w:kern w:val="0"/>
          <w:sz w:val="32"/>
          <w:szCs w:val="32"/>
        </w:rPr>
        <w:t>我市整治工作在全省脱贫攻坚住房建设现场会上作经验交流，工作做法被省委《工作情况交流》专题刊登。</w:t>
      </w:r>
      <w:r>
        <w:rPr>
          <w:rFonts w:hint="eastAsia" w:ascii="仿宋" w:hAnsi="仿宋" w:eastAsia="仿宋"/>
          <w:spacing w:val="4"/>
          <w:sz w:val="32"/>
          <w:szCs w:val="32"/>
          <w:lang w:eastAsia="zh-CN"/>
        </w:rPr>
        <w:t>截至目前</w:t>
      </w:r>
      <w:r>
        <w:rPr>
          <w:rFonts w:ascii="仿宋" w:hAnsi="仿宋" w:eastAsia="仿宋"/>
          <w:spacing w:val="4"/>
          <w:sz w:val="32"/>
          <w:szCs w:val="32"/>
        </w:rPr>
        <w:t>，全市累计整治土坯房</w:t>
      </w:r>
      <w:r>
        <w:rPr>
          <w:rFonts w:ascii="仿宋" w:hAnsi="仿宋" w:eastAsia="仿宋"/>
          <w:sz w:val="32"/>
          <w:szCs w:val="32"/>
        </w:rPr>
        <w:t>67933</w:t>
      </w:r>
      <w:r>
        <w:rPr>
          <w:rFonts w:ascii="仿宋" w:hAnsi="仿宋" w:eastAsia="仿宋"/>
          <w:spacing w:val="4"/>
          <w:sz w:val="32"/>
          <w:szCs w:val="32"/>
        </w:rPr>
        <w:t>户，</w:t>
      </w:r>
      <w:r>
        <w:rPr>
          <w:rFonts w:ascii="仿宋" w:hAnsi="仿宋" w:eastAsia="仿宋"/>
          <w:sz w:val="32"/>
          <w:szCs w:val="32"/>
        </w:rPr>
        <w:t>其中今年已整治45648户，完成今年任务的106.23%。</w:t>
      </w:r>
    </w:p>
    <w:p w14:paraId="4130A106">
      <w:pPr>
        <w:spacing w:line="600" w:lineRule="exact"/>
        <w:ind w:firstLine="643" w:firstLineChars="200"/>
        <w:rPr>
          <w:rFonts w:ascii="仿宋" w:hAnsi="仿宋" w:eastAsia="仿宋"/>
          <w:snapToGrid w:val="0"/>
          <w:kern w:val="0"/>
          <w:sz w:val="32"/>
          <w:szCs w:val="32"/>
        </w:rPr>
      </w:pPr>
      <w:r>
        <w:rPr>
          <w:rFonts w:hint="eastAsia" w:ascii="仿宋" w:hAnsi="仿宋" w:eastAsia="仿宋"/>
          <w:b/>
          <w:bCs/>
          <w:snapToGrid w:val="0"/>
          <w:kern w:val="0"/>
          <w:sz w:val="32"/>
          <w:szCs w:val="32"/>
        </w:rPr>
        <w:t>五</w:t>
      </w:r>
      <w:r>
        <w:rPr>
          <w:rFonts w:ascii="仿宋" w:hAnsi="仿宋" w:eastAsia="仿宋"/>
          <w:b/>
          <w:bCs/>
          <w:snapToGrid w:val="0"/>
          <w:kern w:val="0"/>
          <w:sz w:val="32"/>
          <w:szCs w:val="32"/>
        </w:rPr>
        <w:t>是深化工业用地弹性供应。</w:t>
      </w:r>
      <w:r>
        <w:rPr>
          <w:rFonts w:ascii="仿宋" w:hAnsi="仿宋" w:eastAsia="仿宋"/>
          <w:bCs/>
          <w:snapToGrid w:val="0"/>
          <w:kern w:val="0"/>
          <w:sz w:val="32"/>
          <w:szCs w:val="32"/>
        </w:rPr>
        <w:t>年</w:t>
      </w:r>
      <w:r>
        <w:rPr>
          <w:rFonts w:ascii="仿宋" w:hAnsi="仿宋" w:eastAsia="仿宋"/>
          <w:snapToGrid w:val="0"/>
          <w:kern w:val="0"/>
          <w:sz w:val="32"/>
          <w:szCs w:val="32"/>
        </w:rPr>
        <w:t>以来，全市共弹性供应工业用地10宗、面积400.44亩，其中包括供应租赁标准厂房用地1宗、面积82.81亩，规划建设标准厂房5.48万余平方米。</w:t>
      </w:r>
    </w:p>
    <w:p w14:paraId="6A2C2E51">
      <w:pPr>
        <w:spacing w:line="600" w:lineRule="exact"/>
        <w:ind w:firstLine="659" w:firstLineChars="200"/>
        <w:rPr>
          <w:rFonts w:ascii="仿宋" w:hAnsi="仿宋" w:eastAsia="仿宋"/>
          <w:spacing w:val="4"/>
          <w:sz w:val="32"/>
          <w:szCs w:val="32"/>
        </w:rPr>
      </w:pPr>
      <w:r>
        <w:rPr>
          <w:rFonts w:hint="eastAsia" w:ascii="仿宋" w:hAnsi="仿宋" w:eastAsia="仿宋"/>
          <w:b/>
          <w:bCs/>
          <w:spacing w:val="4"/>
          <w:sz w:val="32"/>
          <w:szCs w:val="32"/>
        </w:rPr>
        <w:t>六</w:t>
      </w:r>
      <w:r>
        <w:rPr>
          <w:rFonts w:ascii="仿宋" w:hAnsi="仿宋" w:eastAsia="仿宋"/>
          <w:b/>
          <w:bCs/>
          <w:spacing w:val="4"/>
          <w:sz w:val="32"/>
          <w:szCs w:val="32"/>
        </w:rPr>
        <w:t>是</w:t>
      </w:r>
      <w:r>
        <w:rPr>
          <w:rFonts w:ascii="仿宋" w:hAnsi="仿宋" w:eastAsia="仿宋"/>
          <w:b/>
          <w:spacing w:val="4"/>
          <w:sz w:val="32"/>
          <w:szCs w:val="32"/>
        </w:rPr>
        <w:t>持续推进不动产统一登记改革。</w:t>
      </w:r>
      <w:r>
        <w:rPr>
          <w:rFonts w:ascii="仿宋" w:hAnsi="仿宋" w:eastAsia="仿宋"/>
          <w:sz w:val="32"/>
          <w:szCs w:val="32"/>
        </w:rPr>
        <w:t>我局与遂宁农商银行合作，在全省率先试点不动产抵押登记“三个一”（即一窗式受理、一站式服务、一小时办结），在农商行便民服务网点一次性办理，实现群众“零跑路”。市中心城区群众办理不动产登记时限实现“113”大提速，不动产登记办理承诺时限继续在全省保持“领跑”水平。</w:t>
      </w:r>
      <w:r>
        <w:rPr>
          <w:rFonts w:ascii="仿宋" w:hAnsi="仿宋" w:eastAsia="仿宋"/>
          <w:spacing w:val="4"/>
          <w:sz w:val="32"/>
          <w:szCs w:val="32"/>
        </w:rPr>
        <w:t>市不动产登记中心入围“全国百佳不动产登记便民利民示范窗口”。</w:t>
      </w:r>
    </w:p>
    <w:p w14:paraId="2C788CFC">
      <w:pPr>
        <w:pStyle w:val="5"/>
        <w:adjustRightInd w:val="0"/>
        <w:snapToGrid w:val="0"/>
        <w:spacing w:before="93" w:line="600" w:lineRule="exact"/>
        <w:ind w:firstLine="672" w:firstLineChars="210"/>
        <w:outlineLvl w:val="2"/>
        <w:rPr>
          <w:rFonts w:ascii="仿宋" w:hAnsi="仿宋" w:eastAsia="仿宋"/>
          <w:bCs/>
          <w:sz w:val="32"/>
          <w:szCs w:val="32"/>
        </w:rPr>
      </w:pPr>
    </w:p>
    <w:p w14:paraId="19D27872">
      <w:pPr>
        <w:pStyle w:val="5"/>
        <w:adjustRightInd w:val="0"/>
        <w:snapToGrid w:val="0"/>
        <w:spacing w:before="93" w:line="600" w:lineRule="exact"/>
        <w:ind w:firstLine="672" w:firstLineChars="210"/>
        <w:outlineLvl w:val="2"/>
        <w:rPr>
          <w:rFonts w:ascii="仿宋" w:hAnsi="仿宋" w:eastAsia="仿宋"/>
          <w:bCs/>
          <w:sz w:val="32"/>
          <w:szCs w:val="32"/>
        </w:rPr>
      </w:pPr>
    </w:p>
    <w:p w14:paraId="19881509">
      <w:pPr>
        <w:pStyle w:val="3"/>
        <w:rPr>
          <w:rStyle w:val="18"/>
          <w:b w:val="0"/>
          <w:bCs w:val="0"/>
        </w:rPr>
      </w:pPr>
      <w:bookmarkStart w:id="20" w:name="_Toc15377200"/>
      <w:bookmarkStart w:id="21" w:name="_Toc15396601"/>
      <w:r>
        <w:rPr>
          <w:rFonts w:hint="eastAsia" w:ascii="黑体" w:eastAsia="黑体"/>
          <w:b w:val="0"/>
        </w:rPr>
        <w:t>二、</w:t>
      </w:r>
      <w:r>
        <w:rPr>
          <w:rFonts w:hint="eastAsia" w:ascii="黑体" w:hAnsi="黑体" w:eastAsia="黑体"/>
          <w:b w:val="0"/>
        </w:rPr>
        <w:t>机</w:t>
      </w:r>
      <w:r>
        <w:rPr>
          <w:rStyle w:val="18"/>
          <w:rFonts w:hint="eastAsia" w:ascii="黑体" w:hAnsi="黑体" w:eastAsia="黑体"/>
          <w:b w:val="0"/>
          <w:bCs w:val="0"/>
        </w:rPr>
        <w:t>构设置</w:t>
      </w:r>
      <w:bookmarkEnd w:id="20"/>
      <w:bookmarkEnd w:id="21"/>
    </w:p>
    <w:p w14:paraId="3FFDC367">
      <w:pPr>
        <w:ind w:firstLine="800" w:firstLineChars="250"/>
        <w:rPr>
          <w:rFonts w:ascii="仿宋" w:hAnsi="仿宋" w:eastAsia="仿宋"/>
          <w:sz w:val="32"/>
          <w:szCs w:val="32"/>
        </w:rPr>
      </w:pPr>
      <w:r>
        <w:rPr>
          <w:rFonts w:hint="eastAsia" w:ascii="仿宋" w:hAnsi="仿宋" w:eastAsia="仿宋"/>
          <w:sz w:val="32"/>
          <w:szCs w:val="32"/>
        </w:rPr>
        <w:t>遂宁市国土资源局下属二级单位5个，其中行政单位1个，参照公务员法管理的事业单位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个，其他事业单位4个。</w:t>
      </w:r>
    </w:p>
    <w:p w14:paraId="19448E30">
      <w:pPr>
        <w:pStyle w:val="5"/>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纳入遂宁市国土资源局</w:t>
      </w:r>
      <w:r>
        <w:rPr>
          <w:rFonts w:ascii="仿宋" w:hAnsi="仿宋" w:eastAsia="仿宋"/>
          <w:sz w:val="32"/>
          <w:szCs w:val="32"/>
        </w:rPr>
        <w:t>2018</w:t>
      </w:r>
      <w:r>
        <w:rPr>
          <w:rFonts w:hint="eastAsia" w:ascii="仿宋" w:hAnsi="仿宋" w:eastAsia="仿宋"/>
          <w:sz w:val="32"/>
          <w:szCs w:val="32"/>
        </w:rPr>
        <w:t>年度部门决算编制范围的二级预算单位包括：</w:t>
      </w:r>
    </w:p>
    <w:p w14:paraId="42E30381">
      <w:pPr>
        <w:pStyle w:val="5"/>
        <w:numPr>
          <w:ilvl w:val="0"/>
          <w:numId w:val="1"/>
        </w:numPr>
        <w:adjustRightInd w:val="0"/>
        <w:snapToGrid w:val="0"/>
        <w:spacing w:before="93" w:line="600" w:lineRule="exact"/>
        <w:outlineLvl w:val="2"/>
        <w:rPr>
          <w:rFonts w:ascii="仿宋" w:hAnsi="仿宋" w:eastAsia="仿宋"/>
          <w:sz w:val="32"/>
          <w:szCs w:val="32"/>
        </w:rPr>
      </w:pPr>
      <w:bookmarkStart w:id="22" w:name="_Toc15378449"/>
      <w:bookmarkStart w:id="23" w:name="_Toc15306276"/>
      <w:bookmarkStart w:id="24" w:name="_Toc15377202"/>
      <w:bookmarkStart w:id="25" w:name="_Toc15377433"/>
      <w:r>
        <w:rPr>
          <w:rFonts w:hint="eastAsia" w:ascii="仿宋" w:hAnsi="仿宋" w:eastAsia="仿宋"/>
          <w:sz w:val="32"/>
          <w:szCs w:val="32"/>
        </w:rPr>
        <w:t>遂宁市国土资源局</w:t>
      </w:r>
      <w:bookmarkEnd w:id="22"/>
      <w:bookmarkEnd w:id="23"/>
      <w:bookmarkEnd w:id="24"/>
      <w:bookmarkEnd w:id="25"/>
      <w:r>
        <w:rPr>
          <w:rFonts w:hint="eastAsia" w:ascii="仿宋" w:hAnsi="仿宋" w:eastAsia="仿宋"/>
          <w:sz w:val="32"/>
          <w:szCs w:val="32"/>
        </w:rPr>
        <w:t>船山分局</w:t>
      </w:r>
    </w:p>
    <w:p w14:paraId="0EDBAE7E">
      <w:pPr>
        <w:widowControl/>
        <w:numPr>
          <w:ilvl w:val="0"/>
          <w:numId w:val="1"/>
        </w:numPr>
        <w:jc w:val="left"/>
        <w:rPr>
          <w:rFonts w:ascii="仿宋" w:hAnsi="仿宋" w:eastAsia="仿宋"/>
          <w:sz w:val="32"/>
          <w:szCs w:val="32"/>
        </w:rPr>
      </w:pPr>
      <w:r>
        <w:rPr>
          <w:rFonts w:hint="eastAsia" w:ascii="仿宋" w:hAnsi="仿宋" w:eastAsia="仿宋"/>
          <w:sz w:val="32"/>
          <w:szCs w:val="32"/>
        </w:rPr>
        <w:t>遂宁市土地储备中心</w:t>
      </w:r>
    </w:p>
    <w:p w14:paraId="010B2746">
      <w:pPr>
        <w:widowControl/>
        <w:numPr>
          <w:ilvl w:val="0"/>
          <w:numId w:val="1"/>
        </w:numPr>
        <w:jc w:val="left"/>
        <w:rPr>
          <w:rFonts w:ascii="仿宋" w:hAnsi="仿宋" w:eastAsia="仿宋"/>
          <w:sz w:val="32"/>
          <w:szCs w:val="32"/>
        </w:rPr>
      </w:pPr>
      <w:r>
        <w:rPr>
          <w:rFonts w:hint="eastAsia" w:ascii="仿宋" w:hAnsi="仿宋" w:eastAsia="仿宋"/>
          <w:sz w:val="32"/>
          <w:szCs w:val="32"/>
        </w:rPr>
        <w:t>遂宁市国土资源局河东新区分局</w:t>
      </w:r>
    </w:p>
    <w:p w14:paraId="103C0BB8">
      <w:pPr>
        <w:widowControl/>
        <w:numPr>
          <w:ilvl w:val="0"/>
          <w:numId w:val="1"/>
        </w:numPr>
        <w:jc w:val="left"/>
        <w:rPr>
          <w:rFonts w:ascii="仿宋" w:hAnsi="仿宋" w:eastAsia="仿宋"/>
          <w:sz w:val="32"/>
          <w:szCs w:val="32"/>
        </w:rPr>
      </w:pPr>
      <w:r>
        <w:rPr>
          <w:rFonts w:hint="eastAsia" w:ascii="仿宋" w:hAnsi="仿宋" w:eastAsia="仿宋"/>
          <w:sz w:val="32"/>
          <w:szCs w:val="32"/>
        </w:rPr>
        <w:t>遂宁市不动产登记中心</w:t>
      </w:r>
    </w:p>
    <w:p w14:paraId="5DF05392">
      <w:pPr>
        <w:widowControl/>
        <w:ind w:left="672"/>
        <w:jc w:val="left"/>
        <w:rPr>
          <w:rFonts w:ascii="仿宋" w:hAnsi="仿宋" w:eastAsia="仿宋"/>
          <w:kern w:val="0"/>
          <w:sz w:val="32"/>
          <w:szCs w:val="32"/>
        </w:rPr>
      </w:pPr>
      <w:r>
        <w:rPr>
          <w:rFonts w:hint="eastAsia" w:ascii="仿宋" w:hAnsi="仿宋" w:eastAsia="仿宋"/>
          <w:sz w:val="32"/>
          <w:szCs w:val="32"/>
        </w:rPr>
        <w:t>5. 遂宁市国土资源局经济技术开发区分局</w:t>
      </w:r>
      <w:r>
        <w:rPr>
          <w:rFonts w:ascii="仿宋" w:hAnsi="仿宋" w:eastAsia="仿宋"/>
          <w:sz w:val="32"/>
          <w:szCs w:val="32"/>
        </w:rPr>
        <w:br w:type="page"/>
      </w:r>
    </w:p>
    <w:p w14:paraId="44C8D6F1">
      <w:pPr>
        <w:pStyle w:val="2"/>
        <w:ind w:right="440"/>
        <w:jc w:val="right"/>
        <w:rPr>
          <w:rStyle w:val="17"/>
          <w:rFonts w:ascii="黑体" w:hAnsi="黑体" w:eastAsia="黑体"/>
          <w:b w:val="0"/>
          <w:bCs w:val="0"/>
        </w:rPr>
      </w:pPr>
      <w:bookmarkStart w:id="26" w:name="_Toc15377204"/>
      <w:bookmarkStart w:id="27" w:name="_Toc15396602"/>
      <w:r>
        <w:rPr>
          <w:rFonts w:hint="eastAsia" w:ascii="黑体" w:hAnsi="黑体" w:eastAsia="黑体"/>
          <w:b w:val="0"/>
        </w:rPr>
        <w:t>第二部分</w:t>
      </w:r>
      <w:r>
        <w:rPr>
          <w:rStyle w:val="17"/>
          <w:rFonts w:ascii="黑体" w:hAnsi="黑体" w:eastAsia="黑体"/>
          <w:b w:val="0"/>
          <w:bCs w:val="0"/>
        </w:rPr>
        <w:t>2018</w:t>
      </w:r>
      <w:r>
        <w:rPr>
          <w:rStyle w:val="17"/>
          <w:rFonts w:hint="eastAsia" w:ascii="黑体" w:hAnsi="黑体" w:eastAsia="黑体"/>
          <w:b w:val="0"/>
          <w:bCs w:val="0"/>
        </w:rPr>
        <w:t>年度部门决算情况说明</w:t>
      </w:r>
      <w:bookmarkEnd w:id="26"/>
      <w:bookmarkEnd w:id="27"/>
    </w:p>
    <w:p w14:paraId="2A9C6F1A"/>
    <w:p w14:paraId="2002E555">
      <w:pPr>
        <w:pStyle w:val="27"/>
        <w:numPr>
          <w:ilvl w:val="0"/>
          <w:numId w:val="2"/>
        </w:numPr>
        <w:spacing w:line="600" w:lineRule="exact"/>
        <w:ind w:firstLineChars="0"/>
        <w:outlineLvl w:val="1"/>
        <w:rPr>
          <w:rStyle w:val="18"/>
          <w:rFonts w:ascii="黑体" w:hAnsi="黑体" w:eastAsia="黑体"/>
          <w:b w:val="0"/>
        </w:rPr>
      </w:pPr>
      <w:bookmarkStart w:id="28" w:name="_Toc15396603"/>
      <w:bookmarkStart w:id="29" w:name="_Toc15377205"/>
      <w:r>
        <w:rPr>
          <w:rFonts w:hint="eastAsia" w:ascii="黑体" w:hAnsi="黑体" w:eastAsia="黑体"/>
          <w:sz w:val="32"/>
          <w:szCs w:val="32"/>
        </w:rPr>
        <w:t>收</w:t>
      </w:r>
      <w:r>
        <w:rPr>
          <w:rStyle w:val="18"/>
          <w:rFonts w:hint="eastAsia" w:ascii="黑体" w:hAnsi="黑体" w:eastAsia="黑体"/>
          <w:b w:val="0"/>
        </w:rPr>
        <w:t>入支出决算总体情况说明</w:t>
      </w:r>
      <w:bookmarkEnd w:id="28"/>
      <w:bookmarkEnd w:id="29"/>
    </w:p>
    <w:p w14:paraId="0BE988D6">
      <w:pPr>
        <w:spacing w:line="600" w:lineRule="exact"/>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年度收、支总计190469.95万元。与</w:t>
      </w:r>
      <w:r>
        <w:rPr>
          <w:rFonts w:ascii="仿宋" w:hAnsi="仿宋" w:eastAsia="仿宋"/>
          <w:sz w:val="32"/>
          <w:szCs w:val="32"/>
        </w:rPr>
        <w:t>2017</w:t>
      </w:r>
      <w:r>
        <w:rPr>
          <w:rFonts w:hint="eastAsia" w:ascii="仿宋" w:hAnsi="仿宋" w:eastAsia="仿宋"/>
          <w:sz w:val="32"/>
          <w:szCs w:val="32"/>
        </w:rPr>
        <w:t>年相比，收、支总计各减少41092.45万元，下降30.14</w:t>
      </w:r>
      <w:r>
        <w:rPr>
          <w:rFonts w:ascii="仿宋" w:hAnsi="仿宋" w:eastAsia="仿宋"/>
          <w:sz w:val="32"/>
          <w:szCs w:val="32"/>
        </w:rPr>
        <w:t>%</w:t>
      </w:r>
      <w:r>
        <w:rPr>
          <w:rFonts w:hint="eastAsia" w:ascii="仿宋" w:hAnsi="仿宋" w:eastAsia="仿宋"/>
          <w:sz w:val="32"/>
          <w:szCs w:val="32"/>
        </w:rPr>
        <w:t>。主要变动原因是其他收入的减少。</w:t>
      </w:r>
    </w:p>
    <w:p w14:paraId="7C78F8FB">
      <w:pPr>
        <w:spacing w:line="600" w:lineRule="exact"/>
        <w:ind w:firstLine="640" w:firstLineChars="200"/>
        <w:rPr>
          <w:rFonts w:ascii="仿宋" w:hAnsi="仿宋" w:eastAsia="仿宋"/>
          <w:sz w:val="32"/>
          <w:szCs w:val="32"/>
        </w:rPr>
      </w:pPr>
    </w:p>
    <w:p w14:paraId="6B257196">
      <w:pPr>
        <w:spacing w:line="600" w:lineRule="exact"/>
        <w:ind w:firstLine="640" w:firstLineChars="200"/>
        <w:rPr>
          <w:rFonts w:ascii="仿宋" w:hAnsi="仿宋" w:eastAsia="仿宋"/>
          <w:sz w:val="32"/>
          <w:szCs w:val="32"/>
        </w:rPr>
      </w:pPr>
    </w:p>
    <w:p w14:paraId="3989D2AE">
      <w:pPr>
        <w:spacing w:line="600" w:lineRule="exact"/>
        <w:ind w:firstLine="420" w:firstLineChars="200"/>
        <w:rPr>
          <w:rFonts w:ascii="仿宋" w:hAnsi="仿宋" w:eastAsia="仿宋"/>
          <w:sz w:val="32"/>
          <w:szCs w:val="32"/>
        </w:rPr>
      </w:pPr>
      <w:r>
        <w:pict>
          <v:shape id="图表 1" o:spid="_x0000_s1036" o:spt="75" type="#_x0000_t75" style="position:absolute;left:0pt;height:216.6pt;width:361.2pt;mso-position-horizontal:center;mso-position-horizontal-relative:margin;mso-position-vertical:center;mso-position-vertical-relative:margin;mso-wrap-distance-bottom:0pt;mso-wrap-distance-left:9pt;mso-wrap-distance-right:9pt;mso-wrap-distance-top:0pt;z-index:25165926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">
            <v:path/>
            <v:fill on="f" focussize="0,0"/>
            <v:stroke on="f" joinstyle="miter"/>
            <v:imagedata r:id="rId6" o:title=""/>
            <o:lock v:ext="edit" aspectratio="f"/>
            <w10:wrap type="square"/>
          </v:shape>
        </w:pict>
      </w:r>
    </w:p>
    <w:p w14:paraId="05D99618">
      <w:pPr>
        <w:spacing w:line="600" w:lineRule="exact"/>
        <w:ind w:firstLine="640" w:firstLineChars="200"/>
        <w:rPr>
          <w:rFonts w:ascii="仿宋" w:hAnsi="仿宋" w:eastAsia="仿宋"/>
          <w:sz w:val="32"/>
          <w:szCs w:val="32"/>
        </w:rPr>
      </w:pPr>
    </w:p>
    <w:p w14:paraId="60792C88">
      <w:pPr>
        <w:spacing w:line="600" w:lineRule="exact"/>
        <w:ind w:firstLine="640" w:firstLineChars="200"/>
        <w:rPr>
          <w:rFonts w:ascii="仿宋" w:hAnsi="仿宋" w:eastAsia="仿宋"/>
          <w:sz w:val="32"/>
          <w:szCs w:val="32"/>
        </w:rPr>
      </w:pPr>
    </w:p>
    <w:p w14:paraId="00FE0F16">
      <w:pPr>
        <w:spacing w:line="600" w:lineRule="exact"/>
        <w:ind w:firstLine="640" w:firstLineChars="200"/>
        <w:rPr>
          <w:rFonts w:ascii="仿宋" w:hAnsi="仿宋" w:eastAsia="仿宋"/>
          <w:sz w:val="32"/>
          <w:szCs w:val="32"/>
        </w:rPr>
      </w:pPr>
    </w:p>
    <w:p w14:paraId="460CDD34">
      <w:pPr>
        <w:spacing w:line="600" w:lineRule="exact"/>
        <w:rPr>
          <w:rFonts w:ascii="仿宋" w:hAnsi="仿宋" w:eastAsia="仿宋"/>
          <w:sz w:val="32"/>
          <w:szCs w:val="32"/>
        </w:rPr>
      </w:pPr>
    </w:p>
    <w:p w14:paraId="404081E0">
      <w:pPr>
        <w:spacing w:line="600" w:lineRule="exact"/>
        <w:jc w:val="left"/>
        <w:rPr>
          <w:rFonts w:ascii="仿宋_GB2312" w:eastAsia="仿宋_GB2312"/>
          <w:sz w:val="32"/>
          <w:szCs w:val="32"/>
        </w:rPr>
      </w:pPr>
    </w:p>
    <w:p w14:paraId="04D0CE55">
      <w:pPr>
        <w:pStyle w:val="27"/>
        <w:numPr>
          <w:ilvl w:val="0"/>
          <w:numId w:val="2"/>
        </w:numPr>
        <w:spacing w:line="600" w:lineRule="exact"/>
        <w:ind w:firstLineChars="0"/>
        <w:outlineLvl w:val="1"/>
        <w:rPr>
          <w:rStyle w:val="18"/>
          <w:rFonts w:ascii="黑体" w:hAnsi="黑体" w:eastAsia="黑体"/>
          <w:b w:val="0"/>
        </w:rPr>
      </w:pPr>
      <w:bookmarkStart w:id="30" w:name="_Toc15377206"/>
      <w:bookmarkStart w:id="31" w:name="_Toc15396604"/>
      <w:r>
        <w:rPr>
          <w:rFonts w:hint="eastAsia" w:ascii="黑体" w:hAnsi="黑体" w:eastAsia="黑体"/>
          <w:sz w:val="32"/>
          <w:szCs w:val="32"/>
        </w:rPr>
        <w:t>收</w:t>
      </w:r>
      <w:r>
        <w:rPr>
          <w:rStyle w:val="18"/>
          <w:rFonts w:hint="eastAsia" w:ascii="黑体" w:hAnsi="黑体" w:eastAsia="黑体"/>
          <w:b w:val="0"/>
        </w:rPr>
        <w:t>入决算情况说明</w:t>
      </w:r>
      <w:bookmarkEnd w:id="30"/>
      <w:bookmarkEnd w:id="31"/>
    </w:p>
    <w:p w14:paraId="1428D38A">
      <w:pPr>
        <w:spacing w:line="600" w:lineRule="exact"/>
        <w:ind w:firstLine="420" w:firstLineChars="200"/>
        <w:outlineLvl w:val="1"/>
        <w:rPr>
          <w:rFonts w:ascii="仿宋" w:hAnsi="仿宋" w:eastAsia="仿宋"/>
          <w:sz w:val="32"/>
          <w:szCs w:val="32"/>
        </w:rPr>
      </w:pPr>
      <w:r>
        <w:pict>
          <v:shape id="图表 5" o:spid="_x0000_s1029" o:spt="75" type="#_x0000_t75" style="position:absolute;left:0pt;margin-left:-48.75pt;margin-top:174.55pt;height:201.2pt;width:501pt;mso-position-horizontal-relative:margin;mso-position-vertical-relative:margin;mso-wrap-distance-bottom:0pt;mso-wrap-distance-left:9pt;mso-wrap-distance-right:9pt;mso-wrap-distance-top:0pt;z-index:25165926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fuhup2gAAAAUBAAAPAAAAZHJzL2Rvd25y&#10;ZXYueG1sTI7RSsNAEEXfhf7DMoIvxe7aQmxjNkUEBQs+WPsB2+w0Cc3OprubNv59R1/0ZeByL2dO&#10;sR5dJ84YYutJw8NMgUCqvG2p1rD7er1fgojJkDWdJ9TwjRHW5eSmMLn1F/rE8zbVgiEUc6OhSanP&#10;pYxVg87Eme+RuDv44EziGGppg7kw3HVyrlQmnWmJPzSmx5cGq+N2cBrUx8bP3+td2Exd278dpzSc&#10;HGl9dzs+P4FIOKa/MfzoszqU7LT3A9koOmbw7vdyt8weOe41LFaZAlkW8r99eQU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">
            <v:path/>
            <v:fill on="f" focussize="0,0"/>
            <v:stroke on="f" joinstyle="miter"/>
            <v:imagedata r:id="rId7" cropbottom="-16f" o:title=""/>
            <o:lock v:ext="edit" aspectratio="f"/>
            <w10:wrap type="square"/>
          </v:shape>
        </w:pict>
      </w:r>
      <w:r>
        <w:rPr>
          <w:rFonts w:ascii="仿宋" w:hAnsi="仿宋" w:eastAsia="仿宋"/>
          <w:sz w:val="32"/>
          <w:szCs w:val="32"/>
        </w:rPr>
        <w:t>2018</w:t>
      </w:r>
      <w:r>
        <w:rPr>
          <w:rFonts w:hint="eastAsia" w:ascii="仿宋" w:hAnsi="仿宋" w:eastAsia="仿宋"/>
          <w:sz w:val="32"/>
          <w:szCs w:val="32"/>
        </w:rPr>
        <w:t>年本年收入合计76716.86万元，其中：一般公共预算财政拨款收入4586.15万元，占5.98</w:t>
      </w:r>
      <w:r>
        <w:rPr>
          <w:rFonts w:ascii="仿宋" w:hAnsi="仿宋" w:eastAsia="仿宋"/>
          <w:sz w:val="32"/>
          <w:szCs w:val="32"/>
        </w:rPr>
        <w:t>%</w:t>
      </w:r>
      <w:r>
        <w:rPr>
          <w:rFonts w:hint="eastAsia" w:ascii="仿宋" w:hAnsi="仿宋" w:eastAsia="仿宋"/>
          <w:sz w:val="32"/>
          <w:szCs w:val="32"/>
        </w:rPr>
        <w:t>；政府性基金预算财政拨款收入53825.49万元，占70.16</w:t>
      </w:r>
      <w:r>
        <w:rPr>
          <w:rFonts w:ascii="仿宋" w:hAnsi="仿宋" w:eastAsia="仿宋"/>
          <w:sz w:val="32"/>
          <w:szCs w:val="32"/>
        </w:rPr>
        <w:t>%</w:t>
      </w:r>
      <w:r>
        <w:rPr>
          <w:rFonts w:hint="eastAsia" w:ascii="仿宋" w:hAnsi="仿宋" w:eastAsia="仿宋"/>
          <w:sz w:val="32"/>
          <w:szCs w:val="32"/>
        </w:rPr>
        <w:t>；其他收入18305.22万元，占23.86</w:t>
      </w:r>
      <w:r>
        <w:rPr>
          <w:rFonts w:ascii="仿宋" w:hAnsi="仿宋" w:eastAsia="仿宋"/>
          <w:sz w:val="32"/>
          <w:szCs w:val="32"/>
        </w:rPr>
        <w:t>%</w:t>
      </w:r>
      <w:r>
        <w:rPr>
          <w:rFonts w:hint="eastAsia" w:ascii="仿宋" w:hAnsi="仿宋" w:eastAsia="仿宋"/>
          <w:sz w:val="32"/>
          <w:szCs w:val="32"/>
        </w:rPr>
        <w:t>。</w:t>
      </w:r>
    </w:p>
    <w:p w14:paraId="39382BBF">
      <w:pPr>
        <w:spacing w:line="600" w:lineRule="exact"/>
        <w:rPr>
          <w:rFonts w:ascii="仿宋" w:hAnsi="仿宋" w:eastAsia="仿宋"/>
          <w:sz w:val="32"/>
          <w:szCs w:val="32"/>
        </w:rPr>
      </w:pPr>
    </w:p>
    <w:p w14:paraId="611F5DB2">
      <w:pPr>
        <w:pStyle w:val="27"/>
        <w:numPr>
          <w:ilvl w:val="0"/>
          <w:numId w:val="2"/>
        </w:numPr>
        <w:spacing w:line="600" w:lineRule="exact"/>
        <w:ind w:firstLineChars="0"/>
        <w:outlineLvl w:val="1"/>
        <w:rPr>
          <w:rStyle w:val="18"/>
          <w:rFonts w:ascii="黑体" w:hAnsi="黑体" w:eastAsia="黑体"/>
          <w:b w:val="0"/>
        </w:rPr>
      </w:pPr>
      <w:bookmarkStart w:id="32" w:name="_Toc15377207"/>
      <w:bookmarkStart w:id="33" w:name="_Toc15396605"/>
      <w:r>
        <w:rPr>
          <w:rFonts w:hint="eastAsia" w:ascii="黑体" w:hAnsi="黑体" w:eastAsia="黑体"/>
          <w:sz w:val="32"/>
          <w:szCs w:val="32"/>
        </w:rPr>
        <w:t>支</w:t>
      </w:r>
      <w:r>
        <w:rPr>
          <w:rStyle w:val="18"/>
          <w:rFonts w:hint="eastAsia" w:ascii="黑体" w:hAnsi="黑体" w:eastAsia="黑体"/>
          <w:b w:val="0"/>
        </w:rPr>
        <w:t>出决算情况说明</w:t>
      </w:r>
      <w:bookmarkEnd w:id="32"/>
      <w:bookmarkEnd w:id="33"/>
    </w:p>
    <w:p w14:paraId="3E9E0CCD">
      <w:pPr>
        <w:spacing w:line="600" w:lineRule="exact"/>
        <w:ind w:firstLine="640"/>
        <w:rPr>
          <w:rFonts w:ascii="仿宋" w:hAnsi="仿宋" w:eastAsia="仿宋"/>
          <w:sz w:val="32"/>
          <w:szCs w:val="32"/>
          <w:shd w:val="pct10" w:color="auto" w:fill="FFFFFF"/>
        </w:rPr>
      </w:pPr>
      <w:r>
        <w:pict>
          <v:shape id="图表 6" o:spid="_x0000_s1030" o:spt="75" type="#_x0000_t75" style="position:absolute;left:0pt;margin-left:29.15pt;margin-top:518.6pt;height:216.75pt;width:361.5pt;mso-position-horizontal-relative:margin;mso-position-vertical-relative:margin;mso-wrap-distance-bottom:0pt;mso-wrap-distance-left:9pt;mso-wrap-distance-right:9pt;mso-wrap-distance-top:0pt;z-index:25165926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QGtCL3AAAAAUBAAAPAAAAZHJzL2Rvd25y&#10;ZXYueG1sTI9BS8NAEIXvgv9hGcGb3ZhYLWk2pQjFiwiNBnrcZqdJcHc2ZLdt9Nc7eqmXB483vPdN&#10;sZqcFSccQ+9Jwf0sAYHUeNNTq+DjfXO3ABGiJqOtJ1TwhQFW5fVVoXPjz7TFUxVbwSUUcq2gi3HI&#10;pQxNh06HmR+QODv40enIdmylGfWZy52VaZI8Sqd74oVOD/jcYfNZHZ2CzcsbVuuttH7xnc6zna/r&#10;3Wut1O3NtF6CiDjFyzH84jM6lMy090cyQVgF/Ej8U86e0oztXsFDls1BloX8T1/+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">
            <v:path/>
            <v:fill on="f" focussize="0,0"/>
            <v:stroke on="f" joinstyle="miter"/>
            <v:imagedata r:id="rId8" o:title=""/>
            <o:lock v:ext="edit" aspectratio="f"/>
            <w10:wrap type="square"/>
          </v:shape>
        </w:pict>
      </w:r>
      <w:r>
        <w:rPr>
          <w:rFonts w:ascii="仿宋" w:hAnsi="仿宋" w:eastAsia="仿宋"/>
          <w:sz w:val="32"/>
          <w:szCs w:val="32"/>
        </w:rPr>
        <w:t>2018</w:t>
      </w:r>
      <w:r>
        <w:rPr>
          <w:rFonts w:hint="eastAsia" w:ascii="仿宋" w:hAnsi="仿宋" w:eastAsia="仿宋"/>
          <w:sz w:val="32"/>
          <w:szCs w:val="32"/>
        </w:rPr>
        <w:t>年本年支出合计88285.14万元，其中：基本支出3460.46万元，占3.92</w:t>
      </w:r>
      <w:r>
        <w:rPr>
          <w:rFonts w:ascii="仿宋" w:hAnsi="仿宋" w:eastAsia="仿宋"/>
          <w:sz w:val="32"/>
          <w:szCs w:val="32"/>
        </w:rPr>
        <w:t>%</w:t>
      </w:r>
      <w:r>
        <w:rPr>
          <w:rFonts w:hint="eastAsia" w:ascii="仿宋" w:hAnsi="仿宋" w:eastAsia="仿宋"/>
          <w:sz w:val="32"/>
          <w:szCs w:val="32"/>
        </w:rPr>
        <w:t>；项目支出84824.68万元，占96.08</w:t>
      </w:r>
      <w:r>
        <w:rPr>
          <w:rFonts w:ascii="仿宋" w:hAnsi="仿宋" w:eastAsia="仿宋"/>
          <w:sz w:val="32"/>
          <w:szCs w:val="32"/>
        </w:rPr>
        <w:t>%</w:t>
      </w:r>
      <w:r>
        <w:rPr>
          <w:rFonts w:hint="eastAsia" w:ascii="仿宋" w:hAnsi="仿宋" w:eastAsia="仿宋"/>
          <w:sz w:val="32"/>
          <w:szCs w:val="32"/>
        </w:rPr>
        <w:t>。</w:t>
      </w:r>
    </w:p>
    <w:p w14:paraId="0A875BE6">
      <w:pPr>
        <w:spacing w:line="600" w:lineRule="exact"/>
        <w:ind w:firstLine="643" w:firstLineChars="200"/>
        <w:rPr>
          <w:rFonts w:ascii="仿宋" w:hAnsi="仿宋" w:eastAsia="仿宋"/>
          <w:b/>
          <w:sz w:val="32"/>
          <w:szCs w:val="32"/>
        </w:rPr>
      </w:pPr>
    </w:p>
    <w:p w14:paraId="485C3361">
      <w:pPr>
        <w:spacing w:line="600" w:lineRule="exact"/>
        <w:ind w:firstLine="640" w:firstLineChars="200"/>
        <w:rPr>
          <w:rFonts w:ascii="仿宋" w:hAnsi="仿宋" w:eastAsia="仿宋"/>
          <w:sz w:val="32"/>
          <w:szCs w:val="32"/>
        </w:rPr>
      </w:pPr>
    </w:p>
    <w:p w14:paraId="2BDD9E16">
      <w:pPr>
        <w:spacing w:line="600" w:lineRule="exact"/>
        <w:ind w:firstLine="640" w:firstLineChars="200"/>
        <w:rPr>
          <w:rFonts w:ascii="仿宋" w:hAnsi="仿宋" w:eastAsia="仿宋"/>
          <w:sz w:val="32"/>
          <w:szCs w:val="32"/>
        </w:rPr>
      </w:pPr>
    </w:p>
    <w:p w14:paraId="52ADFC3D">
      <w:pPr>
        <w:spacing w:line="600" w:lineRule="exact"/>
        <w:ind w:firstLine="640" w:firstLineChars="200"/>
        <w:rPr>
          <w:rFonts w:ascii="仿宋" w:hAnsi="仿宋" w:eastAsia="仿宋"/>
          <w:sz w:val="32"/>
          <w:szCs w:val="32"/>
        </w:rPr>
      </w:pPr>
    </w:p>
    <w:p w14:paraId="26C70255">
      <w:pPr>
        <w:spacing w:line="600" w:lineRule="exact"/>
        <w:ind w:firstLine="640" w:firstLineChars="200"/>
        <w:rPr>
          <w:rFonts w:ascii="仿宋" w:hAnsi="仿宋" w:eastAsia="仿宋"/>
          <w:sz w:val="32"/>
          <w:szCs w:val="32"/>
        </w:rPr>
      </w:pPr>
    </w:p>
    <w:p w14:paraId="220ADD61">
      <w:pPr>
        <w:spacing w:line="600" w:lineRule="exact"/>
        <w:ind w:firstLine="640" w:firstLineChars="200"/>
        <w:rPr>
          <w:rFonts w:ascii="仿宋" w:hAnsi="仿宋" w:eastAsia="仿宋"/>
          <w:sz w:val="32"/>
          <w:szCs w:val="32"/>
        </w:rPr>
      </w:pPr>
    </w:p>
    <w:p w14:paraId="7C18D131">
      <w:pPr>
        <w:spacing w:line="600" w:lineRule="exact"/>
        <w:ind w:firstLine="640" w:firstLineChars="200"/>
        <w:rPr>
          <w:rFonts w:ascii="仿宋_GB2312" w:eastAsia="仿宋_GB2312"/>
          <w:sz w:val="32"/>
          <w:szCs w:val="32"/>
        </w:rPr>
      </w:pPr>
    </w:p>
    <w:p w14:paraId="5517E25E">
      <w:pPr>
        <w:spacing w:line="600" w:lineRule="exact"/>
        <w:ind w:firstLine="640" w:firstLineChars="200"/>
        <w:outlineLvl w:val="1"/>
        <w:rPr>
          <w:rStyle w:val="18"/>
          <w:rFonts w:ascii="黑体" w:hAnsi="黑体" w:eastAsia="黑体"/>
          <w:b w:val="0"/>
        </w:rPr>
      </w:pPr>
      <w:bookmarkStart w:id="34" w:name="_Toc15377208"/>
      <w:bookmarkStart w:id="35" w:name="_Toc15396606"/>
      <w:r>
        <w:rPr>
          <w:rFonts w:hint="eastAsia" w:ascii="黑体" w:hAnsi="黑体" w:eastAsia="黑体"/>
          <w:sz w:val="32"/>
          <w:szCs w:val="32"/>
        </w:rPr>
        <w:t>四、财</w:t>
      </w:r>
      <w:r>
        <w:rPr>
          <w:rStyle w:val="18"/>
          <w:rFonts w:hint="eastAsia" w:ascii="黑体" w:hAnsi="黑体" w:eastAsia="黑体"/>
          <w:b w:val="0"/>
        </w:rPr>
        <w:t>政拨款收入支出决算总体情况说明</w:t>
      </w:r>
      <w:bookmarkEnd w:id="34"/>
      <w:bookmarkEnd w:id="35"/>
    </w:p>
    <w:p w14:paraId="62D6474B">
      <w:pPr>
        <w:spacing w:line="600" w:lineRule="exact"/>
        <w:ind w:firstLine="640" w:firstLineChars="200"/>
        <w:rPr>
          <w:rFonts w:ascii="仿宋" w:hAnsi="仿宋" w:eastAsia="仿宋"/>
          <w:sz w:val="32"/>
        </w:rPr>
      </w:pPr>
      <w:r>
        <w:rPr>
          <w:rFonts w:ascii="仿宋" w:hAnsi="仿宋" w:eastAsia="仿宋"/>
          <w:sz w:val="32"/>
          <w:szCs w:val="32"/>
        </w:rPr>
        <w:t>2018</w:t>
      </w:r>
      <w:r>
        <w:rPr>
          <w:rFonts w:hint="eastAsia" w:ascii="仿宋" w:hAnsi="仿宋" w:eastAsia="仿宋"/>
          <w:sz w:val="32"/>
          <w:szCs w:val="32"/>
        </w:rPr>
        <w:t>年财政拨款收、支总计119592.41万元。与</w:t>
      </w:r>
      <w:r>
        <w:rPr>
          <w:rFonts w:ascii="仿宋" w:hAnsi="仿宋" w:eastAsia="仿宋"/>
          <w:sz w:val="32"/>
          <w:szCs w:val="32"/>
        </w:rPr>
        <w:t>2017</w:t>
      </w:r>
      <w:r>
        <w:rPr>
          <w:rFonts w:hint="eastAsia" w:ascii="仿宋" w:hAnsi="仿宋" w:eastAsia="仿宋"/>
          <w:sz w:val="32"/>
          <w:szCs w:val="32"/>
        </w:rPr>
        <w:t>年相比，财政拨款收、支总计各增加30292.57万元，增长102.67</w:t>
      </w:r>
      <w:r>
        <w:rPr>
          <w:rFonts w:ascii="仿宋" w:hAnsi="仿宋" w:eastAsia="仿宋"/>
          <w:sz w:val="32"/>
          <w:szCs w:val="32"/>
        </w:rPr>
        <w:t>%</w:t>
      </w:r>
      <w:r>
        <w:rPr>
          <w:rFonts w:hint="eastAsia" w:ascii="仿宋" w:hAnsi="仿宋" w:eastAsia="仿宋"/>
          <w:sz w:val="32"/>
          <w:szCs w:val="32"/>
        </w:rPr>
        <w:t>。主要变动原因是</w:t>
      </w:r>
      <w:r>
        <w:rPr>
          <w:rFonts w:ascii="仿宋" w:hAnsi="仿宋" w:eastAsia="仿宋"/>
          <w:sz w:val="32"/>
        </w:rPr>
        <w:t>主要是</w:t>
      </w:r>
      <w:r>
        <w:rPr>
          <w:rFonts w:hint="eastAsia" w:ascii="仿宋" w:hAnsi="仿宋" w:eastAsia="仿宋"/>
          <w:sz w:val="32"/>
        </w:rPr>
        <w:t>土地储备中心土地出让收入增加。</w:t>
      </w:r>
    </w:p>
    <w:p w14:paraId="289EF1C1">
      <w:pPr>
        <w:spacing w:line="600" w:lineRule="exact"/>
        <w:ind w:firstLine="420" w:firstLineChars="200"/>
        <w:rPr>
          <w:rFonts w:ascii="仿宋" w:hAnsi="仿宋" w:eastAsia="仿宋"/>
          <w:sz w:val="32"/>
        </w:rPr>
      </w:pPr>
      <w:r>
        <w:pict>
          <v:shape id="_x0000_s1038" o:spid="_x0000_s1038" o:spt="75" type="#_x0000_t75" style="position:absolute;left:0pt;margin-left:27.05pt;margin-top:165.05pt;height:216.6pt;width:361.2pt;mso-position-horizontal-relative:margin;mso-position-vertical-relative:margin;mso-wrap-distance-bottom:0pt;mso-wrap-distance-left:9pt;mso-wrap-distance-right:9pt;mso-wrap-distance-top:0pt;z-index:25165926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SDYRC2wAAAAUBAAAPAAAAZHJzL2Rvd25y&#10;ZXYueG1sTI/BTsMwEETvSPyDtUjcqENaUhTiVAjEhQsiICpu23hJAvY6sp02/D2mF7isNJrRzNtq&#10;M1sj9uTD4FjB5SIDQdw6PXCn4PXl4eIaRIjIGo1jUvBNATb16UmFpXYHfqZ9EzuRSjiUqKCPcSyl&#10;DG1PFsPCjcTJ+3DeYkzSd1J7PKRya2SeZYW0OHBa6HGku57ar2ayCt4/OzOZcNWMnjiTT9vH++Kt&#10;UOr8bL69ARFpjn9h+MVP6FAnpp2bWAdhFKRH4vEmb53nKxA7BavlMgdZV/I/ff0D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">
            <v:path/>
            <v:fill on="f" focussize="0,0"/>
            <v:stroke on="f" joinstyle="miter"/>
            <v:imagedata r:id="rId9" o:title=""/>
            <o:lock v:ext="edit" aspectratio="f"/>
            <w10:wrap type="square"/>
          </v:shape>
        </w:pict>
      </w:r>
    </w:p>
    <w:p w14:paraId="0E950109">
      <w:pPr>
        <w:spacing w:line="600" w:lineRule="exact"/>
        <w:ind w:firstLine="640" w:firstLineChars="200"/>
        <w:rPr>
          <w:rFonts w:ascii="仿宋" w:hAnsi="仿宋" w:eastAsia="仿宋"/>
          <w:sz w:val="32"/>
        </w:rPr>
      </w:pPr>
    </w:p>
    <w:p w14:paraId="5D885BED">
      <w:pPr>
        <w:spacing w:line="600" w:lineRule="exact"/>
        <w:ind w:firstLine="640" w:firstLineChars="200"/>
        <w:rPr>
          <w:rFonts w:ascii="仿宋" w:hAnsi="仿宋" w:eastAsia="仿宋"/>
          <w:sz w:val="32"/>
        </w:rPr>
      </w:pPr>
    </w:p>
    <w:p w14:paraId="20F78F02">
      <w:pPr>
        <w:spacing w:line="600" w:lineRule="exact"/>
        <w:ind w:firstLine="640" w:firstLineChars="200"/>
        <w:rPr>
          <w:rFonts w:ascii="仿宋" w:hAnsi="仿宋" w:eastAsia="仿宋"/>
          <w:sz w:val="32"/>
        </w:rPr>
      </w:pPr>
    </w:p>
    <w:p w14:paraId="5709DECF">
      <w:pPr>
        <w:spacing w:line="600" w:lineRule="exact"/>
        <w:ind w:firstLine="640" w:firstLineChars="200"/>
        <w:rPr>
          <w:rFonts w:ascii="仿宋" w:hAnsi="仿宋" w:eastAsia="仿宋"/>
          <w:sz w:val="32"/>
        </w:rPr>
      </w:pPr>
    </w:p>
    <w:p w14:paraId="3A152838">
      <w:pPr>
        <w:spacing w:line="600" w:lineRule="exact"/>
        <w:ind w:firstLine="640" w:firstLineChars="200"/>
        <w:rPr>
          <w:rFonts w:ascii="仿宋" w:hAnsi="仿宋" w:eastAsia="仿宋"/>
          <w:sz w:val="32"/>
        </w:rPr>
      </w:pPr>
    </w:p>
    <w:p w14:paraId="7F5F2132">
      <w:pPr>
        <w:spacing w:line="600" w:lineRule="exact"/>
        <w:ind w:firstLine="640" w:firstLineChars="200"/>
        <w:rPr>
          <w:rFonts w:ascii="仿宋" w:hAnsi="仿宋" w:eastAsia="仿宋"/>
          <w:sz w:val="32"/>
        </w:rPr>
      </w:pPr>
    </w:p>
    <w:p w14:paraId="13A39F84">
      <w:pPr>
        <w:spacing w:line="600" w:lineRule="exact"/>
        <w:ind w:firstLine="640" w:firstLineChars="200"/>
        <w:rPr>
          <w:rFonts w:ascii="仿宋" w:hAnsi="仿宋" w:eastAsia="仿宋"/>
          <w:sz w:val="32"/>
        </w:rPr>
      </w:pPr>
    </w:p>
    <w:p w14:paraId="53AF4237">
      <w:pPr>
        <w:spacing w:line="600" w:lineRule="exact"/>
        <w:rPr>
          <w:rFonts w:ascii="仿宋" w:hAnsi="仿宋" w:eastAsia="仿宋"/>
          <w:b/>
          <w:sz w:val="32"/>
          <w:szCs w:val="32"/>
        </w:rPr>
      </w:pPr>
    </w:p>
    <w:p w14:paraId="4F7D6C4B">
      <w:pPr>
        <w:spacing w:line="600" w:lineRule="exact"/>
        <w:ind w:firstLine="640" w:firstLineChars="200"/>
        <w:outlineLvl w:val="1"/>
        <w:rPr>
          <w:rStyle w:val="18"/>
          <w:rFonts w:ascii="黑体" w:hAnsi="黑体" w:eastAsia="黑体"/>
          <w:b w:val="0"/>
        </w:rPr>
      </w:pPr>
      <w:bookmarkStart w:id="36" w:name="_Toc15396607"/>
      <w:bookmarkStart w:id="37" w:name="_Toc15377209"/>
      <w:r>
        <w:rPr>
          <w:rFonts w:hint="eastAsia" w:ascii="黑体" w:hAnsi="黑体" w:eastAsia="黑体"/>
          <w:sz w:val="32"/>
          <w:szCs w:val="32"/>
        </w:rPr>
        <w:t>五、</w:t>
      </w:r>
      <w:r>
        <w:rPr>
          <w:rFonts w:hint="eastAsia" w:ascii="黑体" w:hAnsi="黑体" w:eastAsia="黑体"/>
          <w:b/>
          <w:sz w:val="32"/>
          <w:szCs w:val="32"/>
        </w:rPr>
        <w:t>一</w:t>
      </w:r>
      <w:r>
        <w:rPr>
          <w:rStyle w:val="18"/>
          <w:rFonts w:hint="eastAsia" w:ascii="黑体" w:hAnsi="黑体" w:eastAsia="黑体"/>
          <w:b w:val="0"/>
        </w:rPr>
        <w:t>般公共预算财政拨款支出决算情况说明</w:t>
      </w:r>
      <w:bookmarkEnd w:id="36"/>
      <w:bookmarkEnd w:id="37"/>
    </w:p>
    <w:p w14:paraId="16E5DA90">
      <w:pPr>
        <w:spacing w:line="600" w:lineRule="exact"/>
        <w:ind w:firstLine="643" w:firstLineChars="200"/>
        <w:outlineLvl w:val="2"/>
        <w:rPr>
          <w:rFonts w:ascii="仿宋" w:hAnsi="仿宋" w:eastAsia="仿宋"/>
          <w:b/>
          <w:sz w:val="32"/>
          <w:szCs w:val="32"/>
        </w:rPr>
      </w:pPr>
      <w:bookmarkStart w:id="38" w:name="_Toc15377210"/>
      <w:r>
        <w:rPr>
          <w:rFonts w:hint="eastAsia" w:ascii="仿宋" w:hAnsi="仿宋" w:eastAsia="仿宋"/>
          <w:b/>
          <w:sz w:val="32"/>
          <w:szCs w:val="32"/>
        </w:rPr>
        <w:t>（一）一般公共预算财政拨款支出决算总体情况</w:t>
      </w:r>
      <w:bookmarkEnd w:id="38"/>
    </w:p>
    <w:p w14:paraId="6A8B1CDB">
      <w:pPr>
        <w:spacing w:line="600" w:lineRule="exact"/>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年一般公共预算财政拨款支出4515.68万元，占本年支出合计的5.11</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2017</w:t>
      </w:r>
      <w:r>
        <w:rPr>
          <w:rFonts w:hint="eastAsia" w:ascii="仿宋" w:hAnsi="仿宋" w:eastAsia="仿宋"/>
          <w:sz w:val="32"/>
          <w:szCs w:val="32"/>
        </w:rPr>
        <w:t>年相比，一般公共预算财政拨款增加1120.09万元，增长32.99</w:t>
      </w:r>
      <w:r>
        <w:rPr>
          <w:rFonts w:ascii="仿宋" w:hAnsi="仿宋" w:eastAsia="仿宋"/>
          <w:sz w:val="32"/>
          <w:szCs w:val="32"/>
        </w:rPr>
        <w:t>%</w:t>
      </w:r>
      <w:r>
        <w:rPr>
          <w:rFonts w:hint="eastAsia" w:ascii="仿宋" w:hAnsi="仿宋" w:eastAsia="仿宋"/>
          <w:sz w:val="32"/>
          <w:szCs w:val="32"/>
        </w:rPr>
        <w:t>。主要变动原因是业务量增加，项目支出增加。</w:t>
      </w:r>
    </w:p>
    <w:p w14:paraId="1A11E830">
      <w:pPr>
        <w:spacing w:line="600" w:lineRule="exact"/>
        <w:ind w:firstLine="640" w:firstLineChars="200"/>
        <w:rPr>
          <w:rFonts w:ascii="仿宋" w:hAnsi="仿宋" w:eastAsia="仿宋"/>
          <w:sz w:val="32"/>
          <w:szCs w:val="32"/>
        </w:rPr>
      </w:pPr>
    </w:p>
    <w:p w14:paraId="3C7831D9">
      <w:pPr>
        <w:spacing w:line="600" w:lineRule="exact"/>
        <w:rPr>
          <w:rFonts w:ascii="仿宋" w:hAnsi="仿宋" w:eastAsia="仿宋"/>
          <w:sz w:val="32"/>
          <w:szCs w:val="32"/>
        </w:rPr>
      </w:pPr>
    </w:p>
    <w:p w14:paraId="406317CB">
      <w:pPr>
        <w:spacing w:line="600" w:lineRule="exact"/>
        <w:ind w:firstLine="525" w:firstLineChars="250"/>
        <w:rPr>
          <w:rFonts w:ascii="仿宋" w:hAnsi="仿宋" w:eastAsia="仿宋"/>
          <w:sz w:val="32"/>
          <w:szCs w:val="32"/>
        </w:rPr>
      </w:pPr>
      <w:r>
        <w:pict>
          <v:shape id="图表 8" o:spid="_x0000_s1032" o:spt="75" type="#_x0000_t75" style="position:absolute;left:0pt;height:216.75pt;width:361.5pt;mso-position-horizontal:center;mso-position-horizontal-relative:margin;mso-position-vertical:top;mso-position-vertical-relative:margin;mso-wrap-distance-bottom:0pt;mso-wrap-distance-left:9pt;mso-wrap-distance-right:9pt;mso-wrap-distance-top:0pt;z-index:25165926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xkCSe2QAAAAUBAAAPAAAAZHJzL2Rvd25y&#10;ZXYueG1sTI/NTsMwEITvSH0Ha5G4UeeHFhTiVAWVO7Rwd+KtE4jXIXbb9O1ZuJTLSKNZzXxbribX&#10;iyOOofOkIJ0nIJAabzqyCt53L7cPIELUZHTvCRWcMcCqml2VujD+RG943EYruIRCoRW0MQ6FlKFp&#10;0ekw9wMSZ3s/Oh3ZjlaaUZ+43PUyS5KldLojXmj1gM8tNl/bg1MQFq97+5l+Yzhv6s2HtFnaPWVK&#10;3VxP60cQEad4OYZffEaHiplqfyATRK+AH4l/ytl9lrOtFdzl+QJkVcr/9NUPAA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">
            <v:path/>
            <v:fill on="f" focussize="0,0"/>
            <v:stroke on="f" joinstyle="miter"/>
            <v:imagedata r:id="rId10" o:title=""/>
            <o:lock v:ext="edit" aspectratio="f"/>
            <w10:wrap type="square"/>
          </v:shape>
        </w:pict>
      </w:r>
      <w:bookmarkStart w:id="39" w:name="_Toc15377211"/>
      <w:r>
        <w:rPr>
          <w:rFonts w:hint="eastAsia" w:ascii="仿宋" w:hAnsi="仿宋" w:eastAsia="仿宋"/>
          <w:b/>
          <w:sz w:val="32"/>
          <w:szCs w:val="32"/>
        </w:rPr>
        <w:t>（二）一般公共预算财政拨款支出决算结构情况</w:t>
      </w:r>
      <w:bookmarkEnd w:id="39"/>
    </w:p>
    <w:p w14:paraId="50203C37">
      <w:pPr>
        <w:spacing w:line="600" w:lineRule="exact"/>
        <w:ind w:firstLine="64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年一般公共预算财政拨款支出4515.68万元，主要用于以下方面</w:t>
      </w:r>
      <w:r>
        <w:rPr>
          <w:rFonts w:ascii="仿宋" w:hAnsi="仿宋" w:eastAsia="仿宋"/>
          <w:sz w:val="32"/>
          <w:szCs w:val="32"/>
        </w:rPr>
        <w:t>:</w:t>
      </w:r>
      <w:r>
        <w:rPr>
          <w:rFonts w:hint="eastAsia" w:ascii="仿宋" w:hAnsi="仿宋" w:eastAsia="仿宋"/>
        </w:rPr>
        <w:t xml:space="preserve"> </w:t>
      </w:r>
      <w:r>
        <w:rPr>
          <w:rFonts w:hint="eastAsia" w:ascii="仿宋" w:hAnsi="仿宋" w:eastAsia="仿宋"/>
          <w:sz w:val="32"/>
          <w:szCs w:val="32"/>
        </w:rPr>
        <w:t>社会保障和就业支出（类）支出</w:t>
      </w:r>
      <w:r>
        <w:rPr>
          <w:rFonts w:ascii="仿宋" w:hAnsi="仿宋" w:eastAsia="仿宋"/>
          <w:sz w:val="32"/>
          <w:szCs w:val="32"/>
        </w:rPr>
        <w:t>214</w:t>
      </w: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7万元，占4.76</w:t>
      </w:r>
      <w:r>
        <w:rPr>
          <w:rFonts w:ascii="仿宋" w:hAnsi="仿宋" w:eastAsia="仿宋"/>
          <w:sz w:val="32"/>
          <w:szCs w:val="32"/>
        </w:rPr>
        <w:t>%</w:t>
      </w:r>
      <w:r>
        <w:rPr>
          <w:rFonts w:hint="eastAsia" w:ascii="仿宋" w:hAnsi="仿宋" w:eastAsia="仿宋"/>
          <w:sz w:val="32"/>
          <w:szCs w:val="32"/>
        </w:rPr>
        <w:t>；医疗卫生与计划生育支出（类）93.46万元，占2.07</w:t>
      </w:r>
      <w:r>
        <w:rPr>
          <w:rFonts w:ascii="仿宋" w:hAnsi="仿宋" w:eastAsia="仿宋"/>
          <w:sz w:val="32"/>
          <w:szCs w:val="32"/>
        </w:rPr>
        <w:t>%</w:t>
      </w:r>
      <w:r>
        <w:rPr>
          <w:rFonts w:hint="eastAsia" w:ascii="仿宋" w:hAnsi="仿宋" w:eastAsia="仿宋"/>
          <w:sz w:val="32"/>
          <w:szCs w:val="32"/>
        </w:rPr>
        <w:t>；农林水支出（类）支出213.52万元，占213.52</w:t>
      </w:r>
      <w:r>
        <w:rPr>
          <w:rFonts w:ascii="仿宋" w:hAnsi="仿宋" w:eastAsia="仿宋"/>
          <w:sz w:val="32"/>
          <w:szCs w:val="32"/>
        </w:rPr>
        <w:t>%</w:t>
      </w:r>
      <w:r>
        <w:rPr>
          <w:rFonts w:hint="eastAsia" w:ascii="仿宋" w:hAnsi="仿宋" w:eastAsia="仿宋"/>
          <w:sz w:val="32"/>
          <w:szCs w:val="32"/>
        </w:rPr>
        <w:t>；国土海洋气象等支出（类）支出3797.36万元，占84.09</w:t>
      </w:r>
      <w:r>
        <w:rPr>
          <w:rFonts w:ascii="仿宋" w:hAnsi="仿宋" w:eastAsia="仿宋"/>
          <w:sz w:val="32"/>
          <w:szCs w:val="32"/>
        </w:rPr>
        <w:t>%</w:t>
      </w:r>
      <w:r>
        <w:rPr>
          <w:rFonts w:hint="eastAsia" w:ascii="仿宋" w:hAnsi="仿宋" w:eastAsia="仿宋"/>
          <w:sz w:val="32"/>
          <w:szCs w:val="32"/>
        </w:rPr>
        <w:t>；住房保障支出196.57万元，占4.35</w:t>
      </w:r>
      <w:r>
        <w:rPr>
          <w:rFonts w:ascii="仿宋" w:hAnsi="仿宋" w:eastAsia="仿宋"/>
          <w:sz w:val="32"/>
          <w:szCs w:val="32"/>
        </w:rPr>
        <w:t>%</w:t>
      </w:r>
      <w:r>
        <w:rPr>
          <w:rFonts w:hint="eastAsia" w:ascii="仿宋" w:hAnsi="仿宋" w:eastAsia="仿宋"/>
          <w:sz w:val="32"/>
          <w:szCs w:val="32"/>
        </w:rPr>
        <w:t>。</w:t>
      </w:r>
    </w:p>
    <w:p w14:paraId="660B95D0">
      <w:pPr>
        <w:spacing w:line="600" w:lineRule="exact"/>
        <w:ind w:firstLine="420" w:firstLineChars="200"/>
        <w:rPr>
          <w:rFonts w:ascii="仿宋" w:hAnsi="仿宋" w:eastAsia="仿宋"/>
          <w:sz w:val="32"/>
          <w:szCs w:val="32"/>
        </w:rPr>
      </w:pPr>
      <w:r>
        <w:pict>
          <v:shape id="图表 9" o:spid="_x0000_s1033" o:spt="75" type="#_x0000_t75" style="position:absolute;left:0pt;height:216.75pt;width:354.75pt;mso-position-horizontal:center;mso-position-horizontal-relative:margin;mso-position-vertical:bottom;mso-position-vertical-relative:margin;mso-wrap-distance-bottom:0pt;mso-wrap-distance-left:9pt;mso-wrap-distance-right:9pt;mso-wrap-distance-top:0pt;z-index:25165926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">
            <v:path/>
            <v:fill on="f" focussize="0,0"/>
            <v:stroke on="f" joinstyle="miter"/>
            <v:imagedata r:id="rId11" o:title=""/>
            <o:lock v:ext="edit" aspectratio="f"/>
            <w10:wrap type="square"/>
          </v:shape>
        </w:pict>
      </w:r>
    </w:p>
    <w:p w14:paraId="1B7C94BC">
      <w:pPr>
        <w:spacing w:line="600" w:lineRule="exact"/>
        <w:ind w:firstLine="640" w:firstLineChars="200"/>
        <w:rPr>
          <w:rFonts w:ascii="仿宋" w:hAnsi="仿宋" w:eastAsia="仿宋"/>
          <w:sz w:val="32"/>
          <w:szCs w:val="32"/>
        </w:rPr>
      </w:pPr>
    </w:p>
    <w:p w14:paraId="5384D62C">
      <w:pPr>
        <w:spacing w:line="600" w:lineRule="exact"/>
        <w:ind w:firstLine="640" w:firstLineChars="200"/>
        <w:rPr>
          <w:rFonts w:ascii="仿宋" w:hAnsi="仿宋" w:eastAsia="仿宋"/>
          <w:sz w:val="32"/>
          <w:szCs w:val="32"/>
        </w:rPr>
      </w:pPr>
    </w:p>
    <w:p w14:paraId="7049CDBD">
      <w:pPr>
        <w:spacing w:line="600" w:lineRule="exact"/>
        <w:ind w:firstLine="640" w:firstLineChars="200"/>
        <w:rPr>
          <w:rFonts w:ascii="仿宋" w:hAnsi="仿宋" w:eastAsia="仿宋"/>
          <w:sz w:val="32"/>
          <w:szCs w:val="32"/>
        </w:rPr>
      </w:pPr>
    </w:p>
    <w:p w14:paraId="48AFDD39">
      <w:pPr>
        <w:spacing w:line="600" w:lineRule="exact"/>
        <w:ind w:firstLine="640" w:firstLineChars="200"/>
        <w:rPr>
          <w:rFonts w:ascii="仿宋" w:hAnsi="仿宋" w:eastAsia="仿宋"/>
          <w:sz w:val="32"/>
          <w:szCs w:val="32"/>
        </w:rPr>
      </w:pPr>
    </w:p>
    <w:p w14:paraId="46FA11CF">
      <w:pPr>
        <w:spacing w:line="600" w:lineRule="exact"/>
        <w:ind w:firstLine="640" w:firstLineChars="200"/>
        <w:rPr>
          <w:rFonts w:ascii="仿宋" w:hAnsi="仿宋" w:eastAsia="仿宋"/>
          <w:sz w:val="32"/>
          <w:szCs w:val="32"/>
        </w:rPr>
      </w:pPr>
    </w:p>
    <w:p w14:paraId="52481FDB">
      <w:pPr>
        <w:spacing w:line="600" w:lineRule="exact"/>
        <w:ind w:firstLine="640" w:firstLineChars="200"/>
        <w:rPr>
          <w:rFonts w:ascii="仿宋" w:hAnsi="仿宋" w:eastAsia="仿宋"/>
          <w:sz w:val="32"/>
          <w:szCs w:val="32"/>
        </w:rPr>
      </w:pPr>
    </w:p>
    <w:p w14:paraId="4CE2DAC6">
      <w:pPr>
        <w:spacing w:line="600" w:lineRule="exact"/>
        <w:ind w:firstLine="643" w:firstLineChars="200"/>
        <w:outlineLvl w:val="2"/>
        <w:rPr>
          <w:rFonts w:ascii="仿宋" w:hAnsi="仿宋" w:eastAsia="仿宋"/>
          <w:b/>
          <w:sz w:val="32"/>
          <w:szCs w:val="32"/>
        </w:rPr>
      </w:pPr>
      <w:bookmarkStart w:id="40" w:name="_Toc15377212"/>
      <w:r>
        <w:rPr>
          <w:rFonts w:hint="eastAsia" w:ascii="仿宋" w:hAnsi="仿宋" w:eastAsia="仿宋"/>
          <w:b/>
          <w:sz w:val="32"/>
          <w:szCs w:val="32"/>
        </w:rPr>
        <w:t>（三）一般公共预算财政拨款支出决算具体情况</w:t>
      </w:r>
      <w:bookmarkEnd w:id="40"/>
    </w:p>
    <w:p w14:paraId="6C59E938">
      <w:pPr>
        <w:spacing w:line="600" w:lineRule="exact"/>
        <w:ind w:firstLine="643" w:firstLineChars="200"/>
        <w:outlineLvl w:val="2"/>
        <w:rPr>
          <w:rFonts w:ascii="仿宋" w:hAnsi="仿宋" w:eastAsia="仿宋"/>
          <w:sz w:val="32"/>
          <w:szCs w:val="32"/>
        </w:rPr>
      </w:pPr>
      <w:bookmarkStart w:id="41" w:name="_Toc15378460"/>
      <w:bookmarkStart w:id="42" w:name="_Toc15377444"/>
      <w:bookmarkStart w:id="43" w:name="_Toc15377213"/>
      <w:r>
        <w:rPr>
          <w:rFonts w:ascii="仿宋" w:hAnsi="仿宋" w:eastAsia="仿宋"/>
          <w:b/>
          <w:sz w:val="32"/>
          <w:szCs w:val="32"/>
        </w:rPr>
        <w:t>2018</w:t>
      </w:r>
      <w:r>
        <w:rPr>
          <w:rFonts w:hint="eastAsia" w:ascii="仿宋" w:hAnsi="仿宋" w:eastAsia="仿宋"/>
          <w:b/>
          <w:sz w:val="32"/>
          <w:szCs w:val="32"/>
        </w:rPr>
        <w:t>年一般公共预算支出决算数为</w:t>
      </w:r>
      <w:r>
        <w:rPr>
          <w:rFonts w:hint="eastAsia" w:ascii="仿宋" w:hAnsi="仿宋" w:eastAsia="仿宋"/>
          <w:sz w:val="32"/>
          <w:szCs w:val="32"/>
        </w:rPr>
        <w:t>4515.68，</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41"/>
      <w:bookmarkEnd w:id="42"/>
      <w:bookmarkEnd w:id="43"/>
    </w:p>
    <w:p w14:paraId="7909A555">
      <w:pPr>
        <w:spacing w:line="600" w:lineRule="exact"/>
        <w:ind w:firstLine="643" w:firstLineChars="200"/>
        <w:rPr>
          <w:rFonts w:ascii="仿宋" w:hAnsi="仿宋" w:eastAsia="仿宋"/>
          <w:b/>
          <w:sz w:val="32"/>
          <w:szCs w:val="32"/>
        </w:rPr>
      </w:pPr>
      <w:r>
        <w:rPr>
          <w:rStyle w:val="14"/>
          <w:rFonts w:ascii="仿宋" w:hAnsi="仿宋" w:eastAsia="仿宋"/>
          <w:bCs/>
          <w:sz w:val="32"/>
          <w:szCs w:val="32"/>
        </w:rPr>
        <w:t>1.</w:t>
      </w:r>
      <w:r>
        <w:rPr>
          <w:rFonts w:hint="eastAsia" w:ascii="仿宋" w:hAnsi="仿宋" w:eastAsia="仿宋"/>
          <w:sz w:val="32"/>
          <w:szCs w:val="32"/>
        </w:rPr>
        <w:t xml:space="preserve"> </w:t>
      </w:r>
      <w:r>
        <w:rPr>
          <w:rFonts w:hint="eastAsia" w:ascii="仿宋" w:hAnsi="仿宋" w:eastAsia="仿宋"/>
          <w:b/>
          <w:sz w:val="32"/>
          <w:szCs w:val="32"/>
        </w:rPr>
        <w:t>社会保障和就业支出</w:t>
      </w:r>
      <w:r>
        <w:rPr>
          <w:rStyle w:val="14"/>
          <w:rFonts w:hint="eastAsia" w:ascii="仿宋" w:hAnsi="仿宋" w:eastAsia="仿宋"/>
          <w:bCs/>
          <w:sz w:val="32"/>
          <w:szCs w:val="32"/>
        </w:rPr>
        <w:t>（类）行政事业单位离退休（款）未归口管理的行政单位离退休（项）</w:t>
      </w:r>
      <w:r>
        <w:rPr>
          <w:rStyle w:val="14"/>
          <w:rFonts w:ascii="仿宋" w:hAnsi="仿宋" w:eastAsia="仿宋"/>
          <w:bCs/>
          <w:sz w:val="32"/>
          <w:szCs w:val="32"/>
        </w:rPr>
        <w:t>:</w:t>
      </w:r>
      <w:r>
        <w:rPr>
          <w:rStyle w:val="14"/>
          <w:rFonts w:hint="eastAsia" w:ascii="仿宋" w:hAnsi="仿宋" w:eastAsia="仿宋"/>
          <w:b w:val="0"/>
          <w:bCs/>
          <w:sz w:val="32"/>
          <w:szCs w:val="32"/>
        </w:rPr>
        <w:t>支出决算为15.11万元，完成预算100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1E53D632">
      <w:pPr>
        <w:spacing w:line="600" w:lineRule="exact"/>
        <w:ind w:firstLine="643" w:firstLineChars="200"/>
        <w:rPr>
          <w:rFonts w:ascii="仿宋" w:hAnsi="仿宋" w:eastAsia="仿宋"/>
          <w:b/>
          <w:sz w:val="32"/>
          <w:szCs w:val="32"/>
        </w:rPr>
      </w:pPr>
      <w:r>
        <w:rPr>
          <w:rStyle w:val="14"/>
          <w:rFonts w:ascii="仿宋" w:hAnsi="仿宋" w:eastAsia="仿宋"/>
          <w:bCs/>
          <w:sz w:val="32"/>
          <w:szCs w:val="32"/>
        </w:rPr>
        <w:t>2.</w:t>
      </w:r>
      <w:r>
        <w:rPr>
          <w:rStyle w:val="14"/>
          <w:rFonts w:hint="eastAsia" w:ascii="仿宋" w:hAnsi="仿宋" w:eastAsia="仿宋"/>
          <w:bCs/>
          <w:sz w:val="32"/>
          <w:szCs w:val="32"/>
        </w:rPr>
        <w:t>教</w:t>
      </w:r>
      <w:r>
        <w:rPr>
          <w:rFonts w:hint="eastAsia" w:ascii="仿宋" w:hAnsi="仿宋" w:eastAsia="仿宋"/>
          <w:b/>
          <w:sz w:val="32"/>
          <w:szCs w:val="32"/>
        </w:rPr>
        <w:t>社会保障和就业支出</w:t>
      </w:r>
      <w:r>
        <w:rPr>
          <w:rStyle w:val="14"/>
          <w:rFonts w:hint="eastAsia" w:ascii="仿宋" w:hAnsi="仿宋" w:eastAsia="仿宋"/>
          <w:bCs/>
          <w:sz w:val="32"/>
          <w:szCs w:val="32"/>
        </w:rPr>
        <w:t>（类）行政事业单位离退休（款） 机关事业单位基本养老保险缴费支出（项）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支出决算为198.28万元，完成预算100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020F0EAD">
      <w:pPr>
        <w:spacing w:line="600" w:lineRule="exact"/>
        <w:ind w:firstLine="643" w:firstLineChars="200"/>
        <w:rPr>
          <w:rFonts w:ascii="仿宋" w:hAnsi="仿宋" w:eastAsia="仿宋"/>
          <w:b/>
          <w:sz w:val="32"/>
          <w:szCs w:val="32"/>
        </w:rPr>
      </w:pPr>
      <w:r>
        <w:rPr>
          <w:rStyle w:val="14"/>
          <w:rFonts w:ascii="仿宋" w:hAnsi="仿宋" w:eastAsia="仿宋"/>
          <w:bCs/>
          <w:sz w:val="32"/>
          <w:szCs w:val="32"/>
        </w:rPr>
        <w:t>3.</w:t>
      </w:r>
      <w:r>
        <w:rPr>
          <w:rFonts w:hint="eastAsia" w:ascii="仿宋" w:hAnsi="仿宋" w:eastAsia="仿宋"/>
          <w:b/>
          <w:sz w:val="32"/>
          <w:szCs w:val="32"/>
        </w:rPr>
        <w:t xml:space="preserve"> 社会保障和就业支出</w:t>
      </w:r>
      <w:r>
        <w:rPr>
          <w:rStyle w:val="14"/>
          <w:rFonts w:hint="eastAsia" w:ascii="仿宋" w:hAnsi="仿宋" w:eastAsia="仿宋"/>
          <w:bCs/>
          <w:sz w:val="32"/>
          <w:szCs w:val="32"/>
        </w:rPr>
        <w:t>（类）行政事业单位离退休（款）  其他行政事业单位离退休支出（项）</w:t>
      </w:r>
      <w:r>
        <w:rPr>
          <w:rStyle w:val="14"/>
          <w:rFonts w:ascii="仿宋" w:hAnsi="仿宋" w:eastAsia="仿宋"/>
          <w:bCs/>
          <w:sz w:val="32"/>
          <w:szCs w:val="32"/>
        </w:rPr>
        <w:t>:</w:t>
      </w:r>
      <w:r>
        <w:rPr>
          <w:rStyle w:val="14"/>
          <w:rFonts w:hint="eastAsia" w:ascii="仿宋" w:hAnsi="仿宋" w:eastAsia="仿宋"/>
          <w:b w:val="0"/>
          <w:bCs/>
          <w:sz w:val="32"/>
          <w:szCs w:val="32"/>
        </w:rPr>
        <w:t>支出决算为0.99万元，完成预算100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6674D59F">
      <w:pPr>
        <w:spacing w:line="600" w:lineRule="exact"/>
        <w:ind w:firstLine="643" w:firstLineChars="200"/>
        <w:rPr>
          <w:rFonts w:ascii="仿宋" w:hAnsi="仿宋" w:eastAsia="仿宋"/>
          <w:b/>
          <w:sz w:val="32"/>
          <w:szCs w:val="32"/>
        </w:rPr>
      </w:pPr>
      <w:r>
        <w:rPr>
          <w:rStyle w:val="14"/>
          <w:rFonts w:ascii="仿宋" w:hAnsi="仿宋" w:eastAsia="仿宋"/>
          <w:bCs/>
          <w:sz w:val="32"/>
          <w:szCs w:val="32"/>
        </w:rPr>
        <w:t>4.</w:t>
      </w:r>
      <w:r>
        <w:rPr>
          <w:rFonts w:hint="eastAsia"/>
        </w:rPr>
        <w:t xml:space="preserve"> </w:t>
      </w:r>
      <w:r>
        <w:rPr>
          <w:rStyle w:val="14"/>
          <w:rFonts w:hint="eastAsia" w:ascii="仿宋" w:hAnsi="仿宋" w:eastAsia="仿宋"/>
          <w:bCs/>
          <w:sz w:val="32"/>
          <w:szCs w:val="32"/>
        </w:rPr>
        <w:t>医疗卫生与计划生育支出（类）行政事业单位医疗（款）行政单位医疗（项）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支出决算为46.16万元，完成预算100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548B272D">
      <w:pPr>
        <w:spacing w:line="600" w:lineRule="exact"/>
        <w:ind w:firstLine="643" w:firstLineChars="200"/>
        <w:rPr>
          <w:rFonts w:ascii="仿宋" w:hAnsi="仿宋" w:eastAsia="仿宋"/>
          <w:b/>
          <w:sz w:val="32"/>
          <w:szCs w:val="32"/>
        </w:rPr>
      </w:pPr>
      <w:r>
        <w:rPr>
          <w:rStyle w:val="14"/>
          <w:rFonts w:ascii="仿宋" w:hAnsi="仿宋" w:eastAsia="仿宋"/>
          <w:bCs/>
          <w:sz w:val="32"/>
          <w:szCs w:val="32"/>
        </w:rPr>
        <w:t>5.</w:t>
      </w:r>
      <w:r>
        <w:rPr>
          <w:rStyle w:val="14"/>
          <w:rFonts w:hint="eastAsia" w:ascii="仿宋" w:hAnsi="仿宋" w:eastAsia="仿宋"/>
          <w:bCs/>
          <w:sz w:val="32"/>
          <w:szCs w:val="32"/>
        </w:rPr>
        <w:t xml:space="preserve"> 医疗卫生与计划生育支出（类）行政事业单位医疗（款）事业单位医疗（项）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支出决算为47.3万元，完成预算100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1F282B3D">
      <w:pPr>
        <w:spacing w:line="600" w:lineRule="exact"/>
        <w:ind w:firstLine="643" w:firstLineChars="200"/>
        <w:rPr>
          <w:rStyle w:val="14"/>
          <w:rFonts w:ascii="仿宋" w:hAnsi="仿宋" w:eastAsia="仿宋"/>
          <w:b w:val="0"/>
          <w:bCs/>
          <w:sz w:val="32"/>
          <w:szCs w:val="32"/>
        </w:rPr>
      </w:pPr>
      <w:r>
        <w:rPr>
          <w:rStyle w:val="14"/>
          <w:rFonts w:ascii="仿宋" w:hAnsi="仿宋" w:eastAsia="仿宋"/>
          <w:bCs/>
          <w:sz w:val="32"/>
          <w:szCs w:val="32"/>
        </w:rPr>
        <w:t>6.</w:t>
      </w:r>
      <w:r>
        <w:rPr>
          <w:rFonts w:hint="eastAsia"/>
        </w:rPr>
        <w:t xml:space="preserve"> </w:t>
      </w:r>
      <w:r>
        <w:rPr>
          <w:rStyle w:val="14"/>
          <w:rFonts w:hint="eastAsia" w:ascii="仿宋" w:hAnsi="仿宋" w:eastAsia="仿宋"/>
          <w:bCs/>
          <w:sz w:val="32"/>
          <w:szCs w:val="32"/>
        </w:rPr>
        <w:t>农林水支出（类）农业（款）其他农业支出（项）</w:t>
      </w:r>
      <w:r>
        <w:rPr>
          <w:rStyle w:val="14"/>
          <w:rFonts w:ascii="仿宋" w:hAnsi="仿宋" w:eastAsia="仿宋"/>
          <w:bCs/>
          <w:sz w:val="32"/>
          <w:szCs w:val="32"/>
        </w:rPr>
        <w:t>:</w:t>
      </w:r>
      <w:r>
        <w:rPr>
          <w:rStyle w:val="14"/>
          <w:rFonts w:hint="eastAsia" w:ascii="仿宋" w:hAnsi="仿宋" w:eastAsia="仿宋"/>
          <w:b w:val="0"/>
          <w:bCs/>
          <w:sz w:val="32"/>
          <w:szCs w:val="32"/>
        </w:rPr>
        <w:t>支出决算为2.52万元，完成预算100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5DED890C">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7</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农林水支出（类）其他农林水支出（款）其他农林水支出（项）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支出决算为211万元，完成预算100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3B85581D">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8</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国土海洋气象等支出（类）国土资源事务（款）行政运行（项）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支出决算为1145.05万元，完成预算100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5DE063FA">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9</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国土海洋气象等支出（类）国土资源事务（款）一般行政管理事务（项）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支出决算为149.85万元，完成预算100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2EBFA308">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10</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国土海洋气象等支出（类）国土资源事务（款）国土资源规划及管理（项）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支出决算为8.22万元，完成预算100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03C05EF8">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11</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国土海洋气象等支出（类）国土资源事务（款）土地资源调查（项）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支出决算为2.1万元，完成预算100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47AD473E">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12</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国土海洋气象等支出（类）国土资源事务（款）土地资源利用与保护（项）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支出决算为1.5万元，完成预算100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3436A8BF">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13</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国土海洋气象等支出（类）国土资源事务（款）国土资源社会公益服务（项）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支出决算为17.54万元，完成预算100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096D405C">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14</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国土海洋气象等支出（类）国土资源事务（款）国土资源行业业务管理（项）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支出决算为37.78万元，完成预算100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2906F2BC">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15</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国土海洋气象等支出（类）国土资源事务（款）国土资源调查（项）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支出决算为2.22万元，完成预算100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7888292B">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16</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国土海洋气象等支出（类）国土资源事务（款）国土整治（项）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支出决算为1118.45万元，完成预算100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0BE9AA8C">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17</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国土海洋气象等支出（类）国土资源事务（款）地质灾害防治（项）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支出决算为93.73万元，完成预算100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5EA9559C">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18</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国土海洋气象等支出（类）国土资源事务（款）土地资源储备支出（项）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支出决算为15.32万元，完成预算100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6829A607">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19</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国土海洋气象等支出（类）国土资源事务（款）事业运行（项）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支出决算为1175.76万元，完成预算100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1F6C4CCA">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20</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国土海洋气象等支出（类）国土资源事务（款）其他国土资源事务支出（项）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支出决算为28.83万元，完成预算100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6BE1AEA3">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21</w:t>
      </w:r>
      <w:r>
        <w:rPr>
          <w:rStyle w:val="14"/>
          <w:rFonts w:ascii="仿宋" w:hAnsi="仿宋" w:eastAsia="仿宋"/>
          <w:bCs/>
          <w:sz w:val="32"/>
          <w:szCs w:val="32"/>
        </w:rPr>
        <w:t>.</w:t>
      </w:r>
      <w:r>
        <w:rPr>
          <w:rFonts w:hint="eastAsia"/>
        </w:rPr>
        <w:t xml:space="preserve"> </w:t>
      </w:r>
      <w:r>
        <w:rPr>
          <w:rStyle w:val="14"/>
          <w:rFonts w:hint="eastAsia" w:ascii="仿宋" w:hAnsi="仿宋" w:eastAsia="仿宋"/>
          <w:bCs/>
          <w:sz w:val="32"/>
          <w:szCs w:val="32"/>
        </w:rPr>
        <w:t>住房保障支出（类）住房改革支出（款）  住房公积金（项）</w:t>
      </w:r>
      <w:r>
        <w:rPr>
          <w:rStyle w:val="14"/>
          <w:rFonts w:ascii="仿宋" w:hAnsi="仿宋" w:eastAsia="仿宋"/>
          <w:bCs/>
          <w:sz w:val="32"/>
          <w:szCs w:val="32"/>
        </w:rPr>
        <w:t>:</w:t>
      </w:r>
      <w:r>
        <w:rPr>
          <w:rStyle w:val="14"/>
          <w:rFonts w:hint="eastAsia" w:ascii="仿宋" w:hAnsi="仿宋" w:eastAsia="仿宋"/>
          <w:b w:val="0"/>
          <w:bCs/>
          <w:sz w:val="32"/>
          <w:szCs w:val="32"/>
        </w:rPr>
        <w:t xml:space="preserve"> 支出决算为196.57万元，完成预算100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14:paraId="1DC03CE7">
      <w:pPr>
        <w:spacing w:line="600" w:lineRule="exact"/>
        <w:ind w:firstLine="640"/>
        <w:rPr>
          <w:rFonts w:ascii="仿宋" w:hAnsi="仿宋" w:eastAsia="仿宋"/>
          <w:b/>
          <w:sz w:val="32"/>
          <w:szCs w:val="32"/>
        </w:rPr>
      </w:pPr>
    </w:p>
    <w:p w14:paraId="77229992">
      <w:pPr>
        <w:tabs>
          <w:tab w:val="right" w:pos="8306"/>
        </w:tabs>
        <w:spacing w:line="600" w:lineRule="exact"/>
        <w:ind w:firstLine="640"/>
        <w:outlineLvl w:val="1"/>
        <w:rPr>
          <w:rStyle w:val="18"/>
        </w:rPr>
      </w:pPr>
      <w:bookmarkStart w:id="44" w:name="_Toc15377214"/>
      <w:bookmarkStart w:id="4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8"/>
          <w:rFonts w:hint="eastAsia" w:ascii="黑体" w:hAnsi="黑体" w:eastAsia="黑体"/>
          <w:b w:val="0"/>
        </w:rPr>
        <w:t>般公共预算财政拨款基本支出决算情况说明</w:t>
      </w:r>
      <w:bookmarkEnd w:id="44"/>
      <w:bookmarkEnd w:id="45"/>
      <w:r>
        <w:rPr>
          <w:rStyle w:val="18"/>
          <w:rFonts w:ascii="黑体" w:hAnsi="黑体" w:eastAsia="黑体"/>
          <w:b w:val="0"/>
        </w:rPr>
        <w:tab/>
      </w:r>
    </w:p>
    <w:p w14:paraId="67505126">
      <w:pPr>
        <w:spacing w:line="600" w:lineRule="exact"/>
        <w:ind w:firstLine="645"/>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年一般公共预算财政拨款基本支出2829.13万元，其中：</w:t>
      </w:r>
    </w:p>
    <w:p w14:paraId="1B0EEFC5">
      <w:pPr>
        <w:spacing w:line="600" w:lineRule="exact"/>
        <w:ind w:firstLine="645"/>
        <w:rPr>
          <w:rFonts w:ascii="仿宋" w:hAnsi="仿宋" w:eastAsia="仿宋"/>
          <w:sz w:val="32"/>
          <w:szCs w:val="32"/>
        </w:rPr>
      </w:pPr>
      <w:r>
        <w:rPr>
          <w:rFonts w:hint="eastAsia" w:ascii="仿宋" w:hAnsi="仿宋" w:eastAsia="仿宋"/>
          <w:sz w:val="32"/>
          <w:szCs w:val="32"/>
        </w:rPr>
        <w:t>人员经费2595.4万元，主要包括：基本工资、津贴补贴、奖金、伙食补助费、绩效工资、机关事业单位基本养老保险缴费、职业年金缴费、其他社会保障缴费、其他工资福利支出、医疗费、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233.73万元，主要包括：办公费、水费、电费、邮电费、物业管理费、差旅费、因公出国（境）费用、会议费、培训费、公务接待费、劳务费、委托业务费、工会经费、福利费、公务用车运行维护费、其他交通费、其他商品和服务支出等。</w:t>
      </w:r>
    </w:p>
    <w:p w14:paraId="26F033C8">
      <w:pPr>
        <w:spacing w:line="600" w:lineRule="exact"/>
        <w:ind w:firstLine="640"/>
        <w:outlineLvl w:val="1"/>
        <w:rPr>
          <w:rStyle w:val="18"/>
          <w:rFonts w:ascii="黑体" w:hAnsi="黑体" w:eastAsia="黑体"/>
          <w:b w:val="0"/>
        </w:rPr>
      </w:pPr>
      <w:bookmarkStart w:id="46" w:name="_Toc15396609"/>
      <w:bookmarkStart w:id="47" w:name="_Toc15377215"/>
      <w:r>
        <w:rPr>
          <w:rFonts w:hint="eastAsia" w:ascii="黑体" w:eastAsia="黑体"/>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46"/>
      <w:bookmarkEnd w:id="47"/>
    </w:p>
    <w:p w14:paraId="2F63539E">
      <w:pPr>
        <w:spacing w:line="600" w:lineRule="exact"/>
        <w:ind w:firstLine="640"/>
        <w:outlineLvl w:val="2"/>
        <w:rPr>
          <w:rFonts w:ascii="仿宋" w:hAnsi="仿宋" w:eastAsia="仿宋"/>
          <w:b/>
          <w:sz w:val="32"/>
          <w:szCs w:val="32"/>
        </w:rPr>
      </w:pPr>
      <w:bookmarkStart w:id="48" w:name="_Toc15377216"/>
      <w:r>
        <w:rPr>
          <w:rFonts w:hint="eastAsia" w:ascii="仿宋" w:hAnsi="仿宋" w:eastAsia="仿宋"/>
          <w:b/>
          <w:sz w:val="32"/>
          <w:szCs w:val="32"/>
        </w:rPr>
        <w:t>（一）“三公”经费财政拨款支出决算总体情况说明</w:t>
      </w:r>
      <w:bookmarkEnd w:id="48"/>
    </w:p>
    <w:p w14:paraId="3DD16503">
      <w:pPr>
        <w:spacing w:line="600" w:lineRule="exact"/>
        <w:ind w:firstLine="64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年“三公”经费财政拨款支出决算为31.67万元，</w:t>
      </w:r>
    </w:p>
    <w:p w14:paraId="548047BD">
      <w:pPr>
        <w:spacing w:line="600" w:lineRule="exact"/>
        <w:rPr>
          <w:rFonts w:ascii="仿宋" w:hAnsi="仿宋" w:eastAsia="仿宋"/>
          <w:sz w:val="32"/>
          <w:szCs w:val="32"/>
        </w:rPr>
      </w:pPr>
      <w:r>
        <w:rPr>
          <w:rFonts w:hint="eastAsia" w:ascii="仿宋" w:hAnsi="仿宋" w:eastAsia="仿宋"/>
          <w:sz w:val="32"/>
          <w:szCs w:val="32"/>
        </w:rPr>
        <w:t>完成预算63.08</w:t>
      </w:r>
      <w:r>
        <w:rPr>
          <w:rFonts w:ascii="仿宋" w:hAnsi="仿宋" w:eastAsia="仿宋"/>
          <w:sz w:val="32"/>
          <w:szCs w:val="32"/>
        </w:rPr>
        <w:t>%</w:t>
      </w:r>
      <w:r>
        <w:rPr>
          <w:rFonts w:hint="eastAsia" w:ascii="仿宋" w:hAnsi="仿宋" w:eastAsia="仿宋"/>
          <w:sz w:val="32"/>
          <w:szCs w:val="32"/>
        </w:rPr>
        <w:t>。</w:t>
      </w:r>
    </w:p>
    <w:p w14:paraId="64EDD762">
      <w:pPr>
        <w:spacing w:line="600" w:lineRule="exact"/>
        <w:ind w:firstLine="640"/>
        <w:outlineLvl w:val="2"/>
        <w:rPr>
          <w:rFonts w:ascii="仿宋" w:hAnsi="仿宋" w:eastAsia="仿宋"/>
          <w:b/>
          <w:sz w:val="32"/>
          <w:szCs w:val="32"/>
        </w:rPr>
      </w:pPr>
      <w:bookmarkStart w:id="49" w:name="_Toc15377217"/>
      <w:r>
        <w:rPr>
          <w:rFonts w:hint="eastAsia" w:ascii="仿宋" w:hAnsi="仿宋" w:eastAsia="仿宋"/>
          <w:b/>
          <w:sz w:val="32"/>
          <w:szCs w:val="32"/>
        </w:rPr>
        <w:t>（二）“三公”经费财政拨款支出决算具体情况说明</w:t>
      </w:r>
      <w:bookmarkEnd w:id="49"/>
    </w:p>
    <w:p w14:paraId="106C1FA0">
      <w:pPr>
        <w:spacing w:line="600" w:lineRule="exact"/>
        <w:ind w:firstLine="64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年“三公”经费财政拨款支出决算中，因公出国（境）费支出决算5.78万元，占18.25</w:t>
      </w:r>
      <w:r>
        <w:rPr>
          <w:rFonts w:ascii="仿宋" w:hAnsi="仿宋" w:eastAsia="仿宋"/>
          <w:sz w:val="32"/>
          <w:szCs w:val="32"/>
        </w:rPr>
        <w:t>%</w:t>
      </w:r>
      <w:r>
        <w:rPr>
          <w:rFonts w:hint="eastAsia" w:ascii="仿宋" w:hAnsi="仿宋" w:eastAsia="仿宋"/>
          <w:sz w:val="32"/>
          <w:szCs w:val="32"/>
        </w:rPr>
        <w:t>；公务用车购置及运行维护费决算14.84万元，占46.86</w:t>
      </w:r>
      <w:r>
        <w:rPr>
          <w:rFonts w:ascii="仿宋" w:hAnsi="仿宋" w:eastAsia="仿宋"/>
          <w:sz w:val="32"/>
          <w:szCs w:val="32"/>
        </w:rPr>
        <w:t>%</w:t>
      </w:r>
      <w:r>
        <w:rPr>
          <w:rFonts w:hint="eastAsia" w:ascii="仿宋" w:hAnsi="仿宋" w:eastAsia="仿宋"/>
          <w:sz w:val="32"/>
          <w:szCs w:val="32"/>
        </w:rPr>
        <w:t>；公务接待费支出决算11.05万元，占34.89</w:t>
      </w:r>
      <w:r>
        <w:rPr>
          <w:rFonts w:ascii="仿宋" w:hAnsi="仿宋" w:eastAsia="仿宋"/>
          <w:sz w:val="32"/>
          <w:szCs w:val="32"/>
        </w:rPr>
        <w:t>%</w:t>
      </w:r>
      <w:r>
        <w:rPr>
          <w:rFonts w:hint="eastAsia" w:ascii="仿宋" w:hAnsi="仿宋" w:eastAsia="仿宋"/>
          <w:sz w:val="32"/>
          <w:szCs w:val="32"/>
        </w:rPr>
        <w:t>。具体情况如下：</w:t>
      </w:r>
    </w:p>
    <w:p w14:paraId="0FFA8CEF">
      <w:pPr>
        <w:spacing w:line="600" w:lineRule="exact"/>
        <w:ind w:firstLine="640"/>
        <w:rPr>
          <w:rFonts w:ascii="仿宋" w:hAnsi="仿宋" w:eastAsia="仿宋"/>
          <w:sz w:val="32"/>
          <w:szCs w:val="32"/>
        </w:rPr>
      </w:pPr>
    </w:p>
    <w:p w14:paraId="54D26331">
      <w:pPr>
        <w:spacing w:line="600" w:lineRule="exact"/>
        <w:ind w:firstLine="640"/>
        <w:rPr>
          <w:rFonts w:ascii="仿宋" w:hAnsi="仿宋" w:eastAsia="仿宋"/>
          <w:sz w:val="32"/>
          <w:szCs w:val="32"/>
        </w:rPr>
      </w:pPr>
      <w:r>
        <w:pict>
          <v:shape id="_x0000_s1039" o:spid="_x0000_s1039" o:spt="75" type="#_x0000_t75" style="position:absolute;left:0pt;margin-left:27.05pt;margin-top:366.7pt;height:216.6pt;width:361.2pt;mso-position-horizontal-relative:margin;mso-position-vertical-relative:margin;mso-wrap-distance-bottom:0pt;mso-wrap-distance-left:9pt;mso-wrap-distance-right:9pt;mso-wrap-distance-top:0pt;z-index:25165926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Hyx7m3AAAAAUBAAAPAAAAZHJzL2Rvd25y&#10;ZXYueG1sTI/RasJAEEXfC/7DMoJvdeMqtsRspBREKFio7Qes2TFJm50N2dWk+fpO+1JfBoZ7OXMm&#10;2w6uEVfsQu1Jw2KegEAqvK2p1PDxvrt/BBGiIWsaT6jhGwNs88ldZlLre3rD6zGWgiEUUqOhirFN&#10;pQxFhc6EuW+RODv7zpnIa1dK25me4a6RKknW0pma+EJlWnyusPg6XpyGldofdsP4cujbpFjHehzD&#10;6+JT69l0eNqAiDjE/zL86rM65Ox08heyQTQa+JH4Nzl7UGoF4sTg5VKBzDN5a5//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">
            <v:path/>
            <v:fill on="f" focussize="0,0"/>
            <v:stroke on="f" joinstyle="miter"/>
            <v:imagedata r:id="rId12" o:title=""/>
            <o:lock v:ext="edit" aspectratio="f"/>
            <w10:wrap type="square"/>
          </v:shape>
        </w:pict>
      </w:r>
    </w:p>
    <w:p w14:paraId="6820533F">
      <w:pPr>
        <w:spacing w:line="600" w:lineRule="exact"/>
        <w:ind w:firstLine="640"/>
        <w:rPr>
          <w:rFonts w:ascii="仿宋" w:hAnsi="仿宋" w:eastAsia="仿宋"/>
          <w:sz w:val="32"/>
          <w:szCs w:val="32"/>
        </w:rPr>
      </w:pPr>
    </w:p>
    <w:p w14:paraId="39E8D9C9">
      <w:pPr>
        <w:spacing w:line="600" w:lineRule="exact"/>
        <w:ind w:firstLine="640"/>
        <w:rPr>
          <w:rFonts w:ascii="仿宋" w:hAnsi="仿宋" w:eastAsia="仿宋"/>
          <w:sz w:val="32"/>
          <w:szCs w:val="32"/>
        </w:rPr>
      </w:pPr>
    </w:p>
    <w:p w14:paraId="30A4AEC6">
      <w:pPr>
        <w:spacing w:line="600" w:lineRule="exact"/>
        <w:ind w:firstLine="640"/>
        <w:rPr>
          <w:rFonts w:ascii="仿宋" w:hAnsi="仿宋" w:eastAsia="仿宋"/>
          <w:sz w:val="32"/>
          <w:szCs w:val="32"/>
        </w:rPr>
      </w:pPr>
    </w:p>
    <w:p w14:paraId="6B1FFD44">
      <w:pPr>
        <w:spacing w:line="600" w:lineRule="exact"/>
        <w:ind w:firstLine="640"/>
        <w:rPr>
          <w:rFonts w:ascii="仿宋" w:hAnsi="仿宋" w:eastAsia="仿宋"/>
          <w:sz w:val="32"/>
          <w:szCs w:val="32"/>
        </w:rPr>
      </w:pPr>
    </w:p>
    <w:p w14:paraId="3D7FDE61">
      <w:pPr>
        <w:spacing w:line="600" w:lineRule="exact"/>
        <w:ind w:firstLine="640"/>
        <w:rPr>
          <w:rFonts w:ascii="仿宋" w:hAnsi="仿宋" w:eastAsia="仿宋"/>
          <w:sz w:val="32"/>
          <w:szCs w:val="32"/>
        </w:rPr>
      </w:pPr>
    </w:p>
    <w:p w14:paraId="5FB3FBAE">
      <w:pPr>
        <w:spacing w:line="600" w:lineRule="exact"/>
        <w:ind w:firstLine="640"/>
        <w:rPr>
          <w:rFonts w:ascii="仿宋" w:hAnsi="仿宋" w:eastAsia="仿宋"/>
          <w:sz w:val="32"/>
          <w:szCs w:val="32"/>
        </w:rPr>
      </w:pPr>
    </w:p>
    <w:p w14:paraId="582E970A">
      <w:pPr>
        <w:spacing w:line="600" w:lineRule="exact"/>
        <w:ind w:firstLine="640"/>
        <w:rPr>
          <w:rFonts w:ascii="仿宋" w:hAnsi="仿宋" w:eastAsia="仿宋"/>
          <w:sz w:val="32"/>
          <w:szCs w:val="32"/>
        </w:rPr>
      </w:pPr>
    </w:p>
    <w:p w14:paraId="618CE9FD">
      <w:pPr>
        <w:spacing w:line="600" w:lineRule="exact"/>
        <w:ind w:firstLine="640"/>
        <w:rPr>
          <w:rFonts w:ascii="仿宋" w:hAnsi="仿宋" w:eastAsia="仿宋"/>
          <w:sz w:val="32"/>
          <w:szCs w:val="32"/>
        </w:rPr>
      </w:pPr>
    </w:p>
    <w:p w14:paraId="1B3A1670">
      <w:pPr>
        <w:spacing w:line="600" w:lineRule="exact"/>
        <w:rPr>
          <w:rFonts w:ascii="仿宋" w:hAnsi="仿宋" w:eastAsia="仿宋"/>
          <w:sz w:val="32"/>
          <w:szCs w:val="32"/>
        </w:rPr>
      </w:pPr>
    </w:p>
    <w:p w14:paraId="58FE6FE2">
      <w:pPr>
        <w:spacing w:line="600" w:lineRule="exact"/>
        <w:ind w:firstLine="640"/>
        <w:rPr>
          <w:rFonts w:ascii="仿宋" w:hAnsi="仿宋" w:eastAsia="仿宋"/>
          <w:sz w:val="32"/>
          <w:szCs w:val="32"/>
        </w:rPr>
      </w:pPr>
    </w:p>
    <w:p w14:paraId="3CD93D23">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5.78万元，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全年安排因公出国（境）团组1次，出国（境）1人。因公出国（境）支出决算比</w:t>
      </w:r>
      <w:r>
        <w:rPr>
          <w:rFonts w:ascii="仿宋_GB2312" w:eastAsia="仿宋_GB2312"/>
          <w:sz w:val="32"/>
          <w:szCs w:val="32"/>
        </w:rPr>
        <w:t>2017</w:t>
      </w:r>
      <w:r>
        <w:rPr>
          <w:rFonts w:hint="eastAsia" w:ascii="仿宋_GB2312" w:eastAsia="仿宋_GB2312"/>
          <w:sz w:val="32"/>
          <w:szCs w:val="32"/>
        </w:rPr>
        <w:t>年增加0.49万元，增长9.26</w:t>
      </w:r>
      <w:r>
        <w:rPr>
          <w:rFonts w:ascii="仿宋_GB2312" w:eastAsia="仿宋_GB2312"/>
          <w:sz w:val="32"/>
          <w:szCs w:val="32"/>
        </w:rPr>
        <w:t>%</w:t>
      </w:r>
      <w:r>
        <w:rPr>
          <w:rFonts w:hint="eastAsia" w:ascii="仿宋_GB2312" w:eastAsia="仿宋_GB2312"/>
          <w:sz w:val="32"/>
          <w:szCs w:val="32"/>
        </w:rPr>
        <w:t>。主要原因是出访国家数较2017年增加。</w:t>
      </w:r>
    </w:p>
    <w:p w14:paraId="1A0FFFFB">
      <w:pPr>
        <w:spacing w:line="600" w:lineRule="exact"/>
        <w:ind w:firstLine="640"/>
        <w:rPr>
          <w:rFonts w:ascii="仿宋_GB2312" w:eastAsia="仿宋_GB2312"/>
          <w:sz w:val="32"/>
          <w:szCs w:val="32"/>
        </w:rPr>
      </w:pPr>
      <w:r>
        <w:rPr>
          <w:rFonts w:hint="eastAsia" w:ascii="仿宋_GB2312" w:eastAsia="仿宋_GB2312"/>
          <w:sz w:val="32"/>
          <w:szCs w:val="32"/>
        </w:rPr>
        <w:t>开支内容包括：赴希腊、以色列、印度开展国际友城建设、经贸文化合作洽谈，学习交流国际友城的城市建设经验，探讨研究经贸文化合作可能性。</w:t>
      </w:r>
    </w:p>
    <w:p w14:paraId="53731561">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14.84万元</w:t>
      </w:r>
      <w:r>
        <w:rPr>
          <w:rFonts w:ascii="仿宋_GB2312" w:eastAsia="仿宋_GB2312"/>
          <w:sz w:val="32"/>
          <w:szCs w:val="32"/>
        </w:rPr>
        <w:t>,</w:t>
      </w:r>
      <w:r>
        <w:rPr>
          <w:rStyle w:val="14"/>
          <w:rFonts w:hint="eastAsia" w:ascii="仿宋" w:hAnsi="仿宋" w:eastAsia="仿宋"/>
          <w:b w:val="0"/>
          <w:bCs/>
          <w:sz w:val="32"/>
          <w:szCs w:val="32"/>
        </w:rPr>
        <w:t>完成预算92.75</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2017</w:t>
      </w:r>
      <w:r>
        <w:rPr>
          <w:rFonts w:hint="eastAsia" w:ascii="仿宋_GB2312" w:eastAsia="仿宋_GB2312"/>
          <w:sz w:val="32"/>
          <w:szCs w:val="32"/>
        </w:rPr>
        <w:t>年减少8.12万元，下降35.37</w:t>
      </w:r>
      <w:r>
        <w:rPr>
          <w:rFonts w:ascii="仿宋_GB2312" w:eastAsia="仿宋_GB2312"/>
          <w:sz w:val="32"/>
          <w:szCs w:val="32"/>
        </w:rPr>
        <w:t>%</w:t>
      </w:r>
      <w:r>
        <w:rPr>
          <w:rFonts w:hint="eastAsia" w:ascii="仿宋_GB2312" w:eastAsia="仿宋_GB2312"/>
          <w:sz w:val="32"/>
          <w:szCs w:val="32"/>
        </w:rPr>
        <w:t>。主要原因是厉行节约。</w:t>
      </w:r>
    </w:p>
    <w:p w14:paraId="0E2A25ED">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0万元。截至</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月底，单位共有公务用车3辆，其中：轿车2辆、越野车1辆、载客汽车0辆。</w:t>
      </w:r>
    </w:p>
    <w:p w14:paraId="24E101BA">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14.84万元。主要用于</w:t>
      </w:r>
      <w:r>
        <w:rPr>
          <w:rFonts w:hint="eastAsia" w:ascii="仿宋" w:hAnsi="仿宋" w:eastAsia="仿宋"/>
          <w:sz w:val="32"/>
        </w:rPr>
        <w:t>国土资源管理业务</w:t>
      </w:r>
      <w:r>
        <w:rPr>
          <w:rFonts w:hint="eastAsia" w:ascii="仿宋_GB2312" w:eastAsia="仿宋_GB2312"/>
          <w:sz w:val="32"/>
          <w:szCs w:val="32"/>
        </w:rPr>
        <w:t>等所需的公务用车燃料费、维修费、过路过桥费、保险费等支出。</w:t>
      </w:r>
    </w:p>
    <w:p w14:paraId="419C113B">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11.05万元，</w:t>
      </w:r>
      <w:r>
        <w:rPr>
          <w:rStyle w:val="14"/>
          <w:rFonts w:hint="eastAsia" w:ascii="仿宋" w:hAnsi="仿宋" w:eastAsia="仿宋"/>
          <w:b w:val="0"/>
          <w:bCs/>
          <w:sz w:val="32"/>
          <w:szCs w:val="32"/>
        </w:rPr>
        <w:t>完成预算32.3</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2017</w:t>
      </w:r>
      <w:r>
        <w:rPr>
          <w:rFonts w:hint="eastAsia" w:ascii="仿宋_GB2312" w:eastAsia="仿宋_GB2312"/>
          <w:sz w:val="32"/>
          <w:szCs w:val="32"/>
        </w:rPr>
        <w:t>年增加2.99万元，增长35.01</w:t>
      </w:r>
      <w:r>
        <w:rPr>
          <w:rFonts w:ascii="仿宋_GB2312" w:eastAsia="仿宋_GB2312"/>
          <w:sz w:val="32"/>
          <w:szCs w:val="32"/>
        </w:rPr>
        <w:t>%</w:t>
      </w:r>
      <w:r>
        <w:rPr>
          <w:rFonts w:hint="eastAsia" w:ascii="仿宋_GB2312" w:eastAsia="仿宋_GB2312"/>
          <w:sz w:val="32"/>
          <w:szCs w:val="32"/>
        </w:rPr>
        <w:t>。主要原因是工作量增加，业务接待数增多。</w:t>
      </w:r>
    </w:p>
    <w:p w14:paraId="70FF004B">
      <w:pPr>
        <w:spacing w:line="600" w:lineRule="exact"/>
        <w:ind w:firstLine="640" w:firstLineChars="200"/>
        <w:rPr>
          <w:rFonts w:ascii="仿宋_GB2312" w:eastAsia="仿宋_GB2312"/>
          <w:sz w:val="32"/>
          <w:szCs w:val="32"/>
        </w:rPr>
      </w:pPr>
      <w:r>
        <w:rPr>
          <w:rFonts w:hint="eastAsia" w:ascii="仿宋_GB2312" w:eastAsia="仿宋_GB2312"/>
          <w:sz w:val="32"/>
          <w:szCs w:val="32"/>
        </w:rPr>
        <w:t>主要用于执行公务、开展业务活动开支的交通费、住宿费、用餐费等。国内公务接待65批次，839人次（不包括陪同人员），共计支出11.05万元，具体内容包括：达州局考察学习工业用地弹性供应改革工作接待1452元；德阳局考察学习土坯房整治2700元等。其中：</w:t>
      </w:r>
    </w:p>
    <w:p w14:paraId="23DC0065">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0.3022</w:t>
      </w:r>
      <w:r>
        <w:rPr>
          <w:rFonts w:hint="eastAsia" w:ascii="仿宋_GB2312" w:eastAsia="仿宋_GB2312"/>
          <w:sz w:val="32"/>
          <w:szCs w:val="32"/>
        </w:rPr>
        <w:t>万元，外事接待1批次，5人，共计支出0.3022万元，主要用于接待绿色城市考察柬埔寨团。主要用于接待柬埔寨西哈努克省副省长、副省长夫人、西哈努克省环境厅副厅长、西哈努克省土地管理和城市规划建设厅副厅长、西哈努克省投资办公室主任等5人的食宿费用。</w:t>
      </w:r>
    </w:p>
    <w:p w14:paraId="02C4423B">
      <w:pPr>
        <w:spacing w:line="600" w:lineRule="exact"/>
        <w:ind w:firstLine="640"/>
        <w:rPr>
          <w:rFonts w:ascii="仿宋_GB2312" w:eastAsia="仿宋_GB2312"/>
          <w:sz w:val="32"/>
          <w:szCs w:val="32"/>
        </w:rPr>
      </w:pPr>
      <w:r>
        <w:rPr>
          <w:rFonts w:hint="eastAsia" w:ascii="仿宋" w:hAnsi="仿宋" w:eastAsia="仿宋"/>
          <w:b/>
          <w:sz w:val="32"/>
          <w:szCs w:val="32"/>
        </w:rPr>
        <w:t>其他国内公务接待支出</w:t>
      </w:r>
      <w:r>
        <w:rPr>
          <w:rFonts w:hint="eastAsia" w:ascii="仿宋" w:hAnsi="仿宋" w:eastAsia="仿宋"/>
          <w:sz w:val="32"/>
          <w:szCs w:val="32"/>
        </w:rPr>
        <w:t>10.7478</w:t>
      </w:r>
      <w:r>
        <w:rPr>
          <w:rFonts w:hint="eastAsia" w:ascii="仿宋_GB2312" w:eastAsia="仿宋_GB2312"/>
          <w:sz w:val="32"/>
          <w:szCs w:val="32"/>
        </w:rPr>
        <w:t>万元，主要用于达州局考察学习工业用地弹性供应改革工作接待1452元；德阳局考察学习土坯房整治2700元等。</w:t>
      </w:r>
    </w:p>
    <w:p w14:paraId="255F2162">
      <w:pPr>
        <w:spacing w:line="600" w:lineRule="exact"/>
        <w:ind w:firstLine="640"/>
        <w:outlineLvl w:val="1"/>
        <w:rPr>
          <w:rFonts w:ascii="黑体" w:eastAsia="黑体"/>
          <w:sz w:val="32"/>
          <w:szCs w:val="32"/>
        </w:rPr>
      </w:pPr>
      <w:bookmarkStart w:id="50" w:name="_Toc15396610"/>
      <w:bookmarkStart w:id="51" w:name="_Toc15377218"/>
    </w:p>
    <w:p w14:paraId="59F3A250">
      <w:pPr>
        <w:spacing w:line="600" w:lineRule="exact"/>
        <w:ind w:firstLine="640"/>
        <w:outlineLvl w:val="1"/>
        <w:rPr>
          <w:rStyle w:val="18"/>
          <w:rFonts w:ascii="黑体" w:hAnsi="黑体" w:eastAsia="黑体"/>
        </w:rPr>
      </w:pPr>
      <w:r>
        <w:rPr>
          <w:rFonts w:hint="eastAsia" w:ascii="黑体" w:eastAsia="黑体"/>
          <w:sz w:val="32"/>
          <w:szCs w:val="32"/>
        </w:rPr>
        <w:t>八、</w:t>
      </w:r>
      <w:r>
        <w:rPr>
          <w:rStyle w:val="18"/>
          <w:rFonts w:hint="eastAsia" w:ascii="黑体" w:hAnsi="黑体" w:eastAsia="黑体"/>
          <w:b w:val="0"/>
        </w:rPr>
        <w:t>政府性基金预算支出决算情况说明</w:t>
      </w:r>
      <w:bookmarkEnd w:id="50"/>
      <w:bookmarkEnd w:id="51"/>
    </w:p>
    <w:p w14:paraId="57542D21">
      <w:pPr>
        <w:spacing w:line="600" w:lineRule="exact"/>
        <w:ind w:firstLine="64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年政府性基金预算拨款支出53535.34万元。</w:t>
      </w:r>
    </w:p>
    <w:p w14:paraId="181F5209">
      <w:pPr>
        <w:spacing w:line="600" w:lineRule="exact"/>
        <w:ind w:firstLine="640"/>
        <w:rPr>
          <w:rFonts w:ascii="仿宋_GB2312" w:eastAsia="仿宋_GB2312"/>
          <w:sz w:val="32"/>
          <w:szCs w:val="32"/>
        </w:rPr>
      </w:pPr>
    </w:p>
    <w:p w14:paraId="7529A2E0">
      <w:pPr>
        <w:numPr>
          <w:ilvl w:val="0"/>
          <w:numId w:val="3"/>
        </w:numPr>
        <w:spacing w:line="600" w:lineRule="exact"/>
        <w:ind w:firstLine="640"/>
        <w:outlineLvl w:val="1"/>
        <w:rPr>
          <w:rStyle w:val="18"/>
          <w:rFonts w:ascii="黑体" w:hAnsi="黑体" w:eastAsia="黑体"/>
          <w:b w:val="0"/>
        </w:rPr>
      </w:pPr>
      <w:bookmarkStart w:id="52" w:name="_Toc15377219"/>
      <w:bookmarkStart w:id="53" w:name="_Toc15396611"/>
      <w:r>
        <w:rPr>
          <w:rStyle w:val="18"/>
          <w:rFonts w:hint="eastAsia" w:ascii="黑体" w:hAnsi="黑体" w:eastAsia="黑体"/>
          <w:b w:val="0"/>
        </w:rPr>
        <w:t>国有资本经营预算支出决算情况说明</w:t>
      </w:r>
      <w:bookmarkEnd w:id="52"/>
      <w:bookmarkEnd w:id="53"/>
    </w:p>
    <w:p w14:paraId="02B15B0C">
      <w:pPr>
        <w:spacing w:line="600" w:lineRule="exact"/>
        <w:ind w:firstLine="64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年国有资本经营预算拨款支出0万元。</w:t>
      </w:r>
    </w:p>
    <w:p w14:paraId="559BA161">
      <w:pPr>
        <w:pStyle w:val="27"/>
        <w:numPr>
          <w:ilvl w:val="0"/>
          <w:numId w:val="4"/>
        </w:numPr>
        <w:spacing w:line="580" w:lineRule="exact"/>
        <w:ind w:firstLineChars="0"/>
        <w:rPr>
          <w:rStyle w:val="18"/>
          <w:rFonts w:ascii="黑体" w:hAnsi="黑体" w:eastAsia="黑体"/>
          <w:b w:val="0"/>
        </w:rPr>
      </w:pPr>
      <w:r>
        <w:rPr>
          <w:rStyle w:val="18"/>
          <w:rFonts w:hint="eastAsia" w:ascii="黑体" w:hAnsi="黑体" w:eastAsia="黑体"/>
          <w:b w:val="0"/>
        </w:rPr>
        <w:t>预算绩效情况说明</w:t>
      </w:r>
    </w:p>
    <w:p w14:paraId="278843D9">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751ED2C4">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部门在年初预算编制阶段，组织对土地出让地价评估费项目开展了预算事前绩效评估，对18个项目编制了绩效目标，预算执行过程中，选取5个项目开展绩效监控，年终执行完毕后，对5个项目开展了绩效目标完成情况梳理填报。</w:t>
      </w:r>
    </w:p>
    <w:p w14:paraId="3A6628B7">
      <w:pPr>
        <w:ind w:firstLine="640" w:firstLineChars="200"/>
        <w:rPr>
          <w:rFonts w:ascii="仿宋" w:hAnsi="仿宋" w:eastAsia="仿宋"/>
          <w:sz w:val="32"/>
          <w:szCs w:val="32"/>
        </w:rPr>
      </w:pPr>
      <w:r>
        <w:rPr>
          <w:rFonts w:hint="eastAsia" w:ascii="仿宋" w:hAnsi="仿宋" w:eastAsia="仿宋" w:cs="仿宋_GB2312"/>
          <w:sz w:val="32"/>
          <w:szCs w:val="32"/>
        </w:rPr>
        <w:t>本部门按要求对</w:t>
      </w:r>
      <w:r>
        <w:rPr>
          <w:rFonts w:ascii="仿宋" w:hAnsi="仿宋" w:eastAsia="仿宋" w:cs="仿宋_GB2312"/>
          <w:sz w:val="32"/>
          <w:szCs w:val="32"/>
        </w:rPr>
        <w:t>2018</w:t>
      </w:r>
      <w:r>
        <w:rPr>
          <w:rFonts w:hint="eastAsia" w:ascii="仿宋" w:hAnsi="仿宋" w:eastAsia="仿宋" w:cs="仿宋_GB2312"/>
          <w:sz w:val="32"/>
          <w:szCs w:val="32"/>
        </w:rPr>
        <w:t>年部门整体支出开展绩效自评，从评价情况来说整体较好，但还是存在一些问题。</w:t>
      </w:r>
      <w:r>
        <w:rPr>
          <w:rFonts w:hint="eastAsia" w:ascii="仿宋" w:hAnsi="仿宋" w:eastAsia="仿宋"/>
          <w:sz w:val="32"/>
          <w:szCs w:val="32"/>
        </w:rPr>
        <w:t>一是项目预算不够科学。部分单位存在对下年度工作的统筹考虑还不够周全和详细，在编制预算时对全年工作缺少充分的调研和论证，导致编制出的预算不够全面和准确，二是专项资金时效性与实效性欠佳。</w:t>
      </w:r>
    </w:p>
    <w:p w14:paraId="4040D059">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本部门还自行组织了5个项目绩效评价，从评价情况来看项目绩效目标完成情况较好，基本达到了预算要求。</w:t>
      </w:r>
    </w:p>
    <w:p w14:paraId="2DD01F7F">
      <w:pPr>
        <w:numPr>
          <w:ilvl w:val="0"/>
          <w:numId w:val="6"/>
        </w:numPr>
        <w:tabs>
          <w:tab w:val="clear" w:pos="312"/>
        </w:tabs>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ascii="仿宋" w:hAnsi="仿宋" w:eastAsia="仿宋" w:cs="仿宋_GB2312"/>
          <w:sz w:val="32"/>
          <w:szCs w:val="32"/>
        </w:rPr>
        <w:t xml:space="preserve"> </w:t>
      </w:r>
      <w:r>
        <w:rPr>
          <w:rFonts w:hint="eastAsia" w:ascii="仿宋" w:hAnsi="仿宋" w:eastAsia="仿宋" w:cs="仿宋_GB2312"/>
          <w:sz w:val="32"/>
          <w:szCs w:val="32"/>
        </w:rPr>
        <w:t>本部门在</w:t>
      </w:r>
      <w:r>
        <w:rPr>
          <w:rFonts w:ascii="仿宋" w:hAnsi="仿宋" w:eastAsia="仿宋" w:cs="仿宋_GB2312"/>
          <w:sz w:val="32"/>
          <w:szCs w:val="32"/>
        </w:rPr>
        <w:t>2018</w:t>
      </w:r>
      <w:r>
        <w:rPr>
          <w:rFonts w:hint="eastAsia" w:ascii="仿宋" w:hAnsi="仿宋" w:eastAsia="仿宋" w:cs="仿宋_GB2312"/>
          <w:sz w:val="32"/>
          <w:szCs w:val="32"/>
        </w:rPr>
        <w:t>年度部门决算中反映“船山区及市直园区土地利用变更调查工作及全市成果质量汇总”” 汛期技术合作服务”“ 不动产登记业务费”等5个项目绩效目标实际完成情况。</w:t>
      </w:r>
    </w:p>
    <w:p w14:paraId="5D219F81">
      <w:pPr>
        <w:numPr>
          <w:ilvl w:val="0"/>
          <w:numId w:val="6"/>
        </w:numPr>
        <w:tabs>
          <w:tab w:val="clear" w:pos="312"/>
        </w:tabs>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船山区及市直园区土地利用变更调查工作及全市成果质量汇总项目绩效目标完成情况综述。项目全年预算数40万元，执行数为25.5万元，完成预算的63.75</w:t>
      </w:r>
      <w:r>
        <w:rPr>
          <w:rFonts w:ascii="仿宋" w:hAnsi="仿宋" w:eastAsia="仿宋" w:cs="仿宋_GB2312"/>
          <w:sz w:val="32"/>
          <w:szCs w:val="32"/>
        </w:rPr>
        <w:t>%</w:t>
      </w:r>
      <w:r>
        <w:rPr>
          <w:rFonts w:hint="eastAsia" w:ascii="仿宋" w:hAnsi="仿宋" w:eastAsia="仿宋" w:cs="仿宋_GB2312"/>
          <w:sz w:val="32"/>
          <w:szCs w:val="32"/>
        </w:rPr>
        <w:t>。通过项目实施，对船山区及市直园区涉及变化图斑进行核查的现状地类、权属、面积等进行调查举证，建立数据库。对县区上报的变更调查成果进行抽查、质检，形成全市土地利用现状成果，深化了成果应用。发现的主要问题：预算金额不准确，预算支出超出实际支出较多。下一步改进措施：</w:t>
      </w:r>
      <w:r>
        <w:rPr>
          <w:rFonts w:hint="eastAsia" w:ascii="仿宋" w:hAnsi="仿宋" w:eastAsia="仿宋"/>
          <w:sz w:val="32"/>
          <w:szCs w:val="32"/>
        </w:rPr>
        <w:t>科学合理编制预算</w:t>
      </w:r>
      <w:r>
        <w:rPr>
          <w:rFonts w:hint="eastAsia" w:ascii="仿宋" w:hAnsi="仿宋" w:eastAsia="仿宋" w:cs="仿宋_GB2312"/>
          <w:sz w:val="32"/>
          <w:szCs w:val="32"/>
        </w:rPr>
        <w:t>。</w:t>
      </w:r>
    </w:p>
    <w:p w14:paraId="4C429629">
      <w:pPr>
        <w:ind w:firstLine="640" w:firstLineChars="200"/>
        <w:rPr>
          <w:rFonts w:ascii="仿宋" w:hAnsi="仿宋" w:eastAsia="仿宋"/>
          <w:sz w:val="32"/>
          <w:szCs w:val="32"/>
        </w:rPr>
      </w:pPr>
      <w:r>
        <w:rPr>
          <w:rFonts w:hint="eastAsia" w:ascii="仿宋" w:hAnsi="仿宋" w:eastAsia="仿宋" w:cs="仿宋_GB2312"/>
          <w:sz w:val="32"/>
          <w:szCs w:val="32"/>
        </w:rPr>
        <w:t>2.汛期技术合作服务项目绩效目标完成情况综述。项目全年预算数20万元，执行数为20万元，完成预算的100</w:t>
      </w:r>
      <w:r>
        <w:rPr>
          <w:rFonts w:ascii="仿宋" w:hAnsi="仿宋" w:eastAsia="仿宋" w:cs="仿宋_GB2312"/>
          <w:sz w:val="32"/>
          <w:szCs w:val="32"/>
        </w:rPr>
        <w:t>%</w:t>
      </w:r>
      <w:r>
        <w:rPr>
          <w:rFonts w:hint="eastAsia" w:ascii="仿宋" w:hAnsi="仿宋" w:eastAsia="仿宋" w:cs="仿宋_GB2312"/>
          <w:sz w:val="32"/>
          <w:szCs w:val="32"/>
        </w:rPr>
        <w:t>。通过项目实施，保障了地灾防治汛期技术督导合作、综合防治技术服务费、气象预警信息服务、年度综合防治体系建设方案编制、地灾和地震宣传培训。发现的主要问题：</w:t>
      </w:r>
      <w:r>
        <w:rPr>
          <w:rFonts w:hint="eastAsia" w:ascii="仿宋" w:hAnsi="仿宋" w:eastAsia="仿宋"/>
          <w:sz w:val="32"/>
          <w:szCs w:val="32"/>
        </w:rPr>
        <w:t>专项资金时效性与实效性欠佳</w:t>
      </w:r>
      <w:r>
        <w:rPr>
          <w:rFonts w:hint="eastAsia" w:ascii="仿宋" w:hAnsi="仿宋" w:eastAsia="仿宋" w:cs="仿宋_GB2312"/>
          <w:sz w:val="32"/>
          <w:szCs w:val="32"/>
        </w:rPr>
        <w:t>。下一步改进措施：</w:t>
      </w:r>
      <w:r>
        <w:rPr>
          <w:rFonts w:hint="eastAsia" w:ascii="仿宋" w:hAnsi="仿宋" w:eastAsia="仿宋"/>
          <w:sz w:val="32"/>
          <w:szCs w:val="32"/>
        </w:rPr>
        <w:t xml:space="preserve">严格执行预算，在日常预算管理过程中，进一步加强预算支出的审核、跟踪及预算执行情况分析。                            </w:t>
      </w:r>
    </w:p>
    <w:p w14:paraId="2014B135">
      <w:pPr>
        <w:adjustRightInd w:val="0"/>
        <w:snapToGrid w:val="0"/>
        <w:spacing w:line="54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 土地储备专项工作经费项目绩效目标完成情况综述。项目全年预算数40.01万元，执行数为14.29万元，完成预算的35.72</w:t>
      </w:r>
      <w:r>
        <w:rPr>
          <w:rFonts w:ascii="仿宋" w:hAnsi="仿宋" w:eastAsia="仿宋" w:cs="仿宋_GB2312"/>
          <w:sz w:val="32"/>
          <w:szCs w:val="32"/>
        </w:rPr>
        <w:t>%</w:t>
      </w:r>
      <w:r>
        <w:rPr>
          <w:rFonts w:hint="eastAsia" w:ascii="仿宋" w:hAnsi="仿宋" w:eastAsia="仿宋" w:cs="仿宋_GB2312"/>
          <w:sz w:val="32"/>
          <w:szCs w:val="32"/>
        </w:rPr>
        <w:t>。通过项目实施，保障了2018年</w:t>
      </w:r>
      <w:r>
        <w:rPr>
          <w:rFonts w:hint="eastAsia" w:ascii="仿宋" w:hAnsi="仿宋" w:eastAsia="仿宋" w:cs="仿宋_GB2312"/>
          <w:sz w:val="32"/>
          <w:szCs w:val="32"/>
          <w:lang w:val="zh-CN"/>
        </w:rPr>
        <w:t>收储目标圆满完成，发</w:t>
      </w:r>
      <w:r>
        <w:rPr>
          <w:rFonts w:hint="eastAsia" w:ascii="仿宋" w:hAnsi="仿宋" w:eastAsia="仿宋" w:cs="仿宋_GB2312"/>
          <w:sz w:val="32"/>
          <w:szCs w:val="32"/>
        </w:rPr>
        <w:t>现的主要问题：</w:t>
      </w:r>
      <w:r>
        <w:rPr>
          <w:rFonts w:hint="eastAsia" w:ascii="仿宋" w:hAnsi="仿宋" w:eastAsia="仿宋" w:cs="仿宋_GB2312"/>
          <w:sz w:val="32"/>
          <w:szCs w:val="32"/>
          <w:lang w:val="zh-CN"/>
        </w:rPr>
        <w:t>专项资金预算编制还不够细化，资金使用效益还需提高。</w:t>
      </w:r>
      <w:r>
        <w:rPr>
          <w:rFonts w:hint="eastAsia" w:ascii="仿宋" w:hAnsi="仿宋" w:eastAsia="仿宋" w:cs="仿宋_GB2312"/>
          <w:sz w:val="32"/>
          <w:szCs w:val="32"/>
        </w:rPr>
        <w:t>下一步改进措施：市土储</w:t>
      </w:r>
      <w:r>
        <w:rPr>
          <w:rFonts w:hint="eastAsia" w:ascii="仿宋" w:hAnsi="仿宋" w:eastAsia="仿宋" w:cs="仿宋_GB2312"/>
          <w:sz w:val="32"/>
          <w:szCs w:val="32"/>
          <w:lang w:val="zh-CN"/>
        </w:rPr>
        <w:t>中心将</w:t>
      </w:r>
      <w:r>
        <w:rPr>
          <w:rFonts w:hint="eastAsia" w:ascii="仿宋" w:hAnsi="仿宋" w:eastAsia="仿宋" w:cs="仿宋_GB2312"/>
          <w:sz w:val="32"/>
          <w:szCs w:val="32"/>
        </w:rPr>
        <w:t>健全财务管理制度，按照财政支出绩效管理的要求，建立科学的财政资金效益考评制度体系，不断提高财政资金使用管理的水平和效率。</w:t>
      </w:r>
    </w:p>
    <w:p w14:paraId="2F43EA49">
      <w:pPr>
        <w:tabs>
          <w:tab w:val="left" w:pos="312"/>
        </w:tabs>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4. 不动产登记业务费项目绩效目标完成情况综述。项目全年预算数54.50万元，执行数为35.94万元，完成预算的65.94%。通过项目实施，保障了不动产登记工作的正常开展，一是全年购买自然资源部特制证书22000册，证明34000份，购买档案盒20000个。二是开展不动产登记专项宣传，查根源添措施</w:t>
      </w:r>
      <w:r>
        <w:rPr>
          <w:rFonts w:hint="eastAsia" w:ascii="仿宋" w:hAnsi="仿宋" w:eastAsia="仿宋" w:cs="楷体"/>
          <w:bCs/>
          <w:sz w:val="32"/>
          <w:szCs w:val="32"/>
        </w:rPr>
        <w:t>从源头上规范治理办证难题。三是不动产登记“一窗办理”。实现房管、税务、不动产登记三窗合一，打破不同部门“串联办理”传统模式，将原办证所需三套25个材料精简为一套12个材料，推行“一次取号、一次排队、一套材料、一次交费”的并联办理模式，加上ＥＭＳ免费邮寄到家等便民服务，实现群众办理不动产登记“最多跑一次”。</w:t>
      </w:r>
      <w:r>
        <w:rPr>
          <w:rFonts w:hint="eastAsia" w:ascii="仿宋" w:hAnsi="仿宋" w:eastAsia="仿宋" w:cs="仿宋_GB2312"/>
          <w:sz w:val="32"/>
          <w:szCs w:val="32"/>
        </w:rPr>
        <w:t xml:space="preserve"> 全年共受理各类不动产登记57592件，发放不动产权证书41005本、不动产登记证明27707份，协税3000余万元。</w:t>
      </w:r>
      <w:r>
        <w:rPr>
          <w:rFonts w:hint="eastAsia" w:ascii="仿宋" w:hAnsi="仿宋" w:eastAsia="仿宋" w:cs="楷体"/>
          <w:bCs/>
          <w:sz w:val="32"/>
          <w:szCs w:val="32"/>
        </w:rPr>
        <w:t>四是自加压力，压缩不动产登记服务时限，推行登记服务“113”工作机制，将房屋所有权抵押登记等11类登记事项提速至1小时办结，整体办理时限压缩至3个工作日。此举得到群众一致好评，服务效率全省领先。</w:t>
      </w:r>
      <w:r>
        <w:rPr>
          <w:rFonts w:hint="eastAsia" w:ascii="仿宋" w:hAnsi="仿宋" w:eastAsia="仿宋" w:cs="仿宋_GB2312"/>
          <w:sz w:val="32"/>
          <w:szCs w:val="32"/>
        </w:rPr>
        <w:t>发现的主要问题：预算编制不够准确。下一步改进措施：科学精细化编制预算。</w:t>
      </w:r>
    </w:p>
    <w:p w14:paraId="14B66C27">
      <w:pPr>
        <w:tabs>
          <w:tab w:val="left" w:pos="312"/>
        </w:tabs>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5. 互联网+政务服务费项目绩效目标完成情况综述。项目全年预算数20万元，执行数为17.54万元，完成预算的87.7%。通过项目实施，保障了不动产登记工作的正常开展，一是保证不动产登记专网的正常运行。为</w:t>
      </w:r>
      <w:r>
        <w:rPr>
          <w:rFonts w:hint="eastAsia" w:ascii="仿宋" w:hAnsi="仿宋" w:eastAsia="仿宋" w:cs="楷体"/>
          <w:bCs/>
          <w:sz w:val="32"/>
          <w:szCs w:val="32"/>
        </w:rPr>
        <w:t>不动产登记“一窗办理”、 实现群众办理不动产登记“最多跑一次”、 压缩不动产登记服务时限提供数据支撑及网络保障。</w:t>
      </w:r>
      <w:r>
        <w:rPr>
          <w:rFonts w:hint="eastAsia" w:ascii="仿宋" w:hAnsi="仿宋" w:eastAsia="仿宋" w:cs="仿宋_GB2312"/>
          <w:sz w:val="32"/>
          <w:szCs w:val="32"/>
        </w:rPr>
        <w:t>二是保证窗口网络覆盖，方便群众自主查询。在市政务服务大厅、档案科、河东分中心、经开分中心保证办证窗口及查询窗口网络全覆盖，满足老百姓自主查询档案信息、办证进度、抵押情况等信息。发现的主要问题：预算编制不够准确。下一步改进措施：科学精细化编制预算。</w:t>
      </w:r>
    </w:p>
    <w:p w14:paraId="250CDB12">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4267D8CA">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6FE077B3">
            <w:pPr>
              <w:pStyle w:val="27"/>
              <w:widowControl/>
              <w:ind w:left="4173" w:leftChars="1310" w:hanging="1422" w:hangingChars="395"/>
              <w:textAlignment w:val="center"/>
              <w:rPr>
                <w:rFonts w:ascii="黑体" w:hAnsi="黑体" w:eastAsia="黑体" w:cs="宋体"/>
                <w:bCs/>
                <w:kern w:val="0"/>
                <w:sz w:val="36"/>
                <w:szCs w:val="36"/>
              </w:rPr>
            </w:pPr>
          </w:p>
          <w:p w14:paraId="3243B678">
            <w:pPr>
              <w:pStyle w:val="27"/>
              <w:widowControl/>
              <w:ind w:firstLine="0" w:firstLineChars="0"/>
              <w:textAlignment w:val="center"/>
              <w:rPr>
                <w:rFonts w:ascii="黑体" w:hAnsi="黑体" w:eastAsia="黑体" w:cs="宋体"/>
                <w:bCs/>
                <w:kern w:val="0"/>
                <w:sz w:val="36"/>
                <w:szCs w:val="36"/>
              </w:rPr>
            </w:pPr>
          </w:p>
          <w:p w14:paraId="73A7C143">
            <w:pPr>
              <w:pStyle w:val="27"/>
              <w:widowControl/>
              <w:ind w:firstLine="0" w:firstLineChars="0"/>
              <w:textAlignment w:val="center"/>
              <w:rPr>
                <w:rFonts w:ascii="黑体" w:hAnsi="黑体" w:eastAsia="黑体" w:cs="宋体"/>
                <w:bCs/>
                <w:kern w:val="0"/>
                <w:sz w:val="36"/>
                <w:szCs w:val="36"/>
              </w:rPr>
            </w:pPr>
          </w:p>
          <w:p w14:paraId="06D4DB08">
            <w:pPr>
              <w:pStyle w:val="27"/>
              <w:widowControl/>
              <w:ind w:firstLine="0" w:firstLineChars="0"/>
              <w:textAlignment w:val="center"/>
              <w:rPr>
                <w:rFonts w:ascii="黑体" w:hAnsi="黑体" w:eastAsia="黑体" w:cs="宋体"/>
                <w:bCs/>
                <w:kern w:val="0"/>
                <w:sz w:val="36"/>
                <w:szCs w:val="36"/>
              </w:rPr>
            </w:pPr>
          </w:p>
          <w:p w14:paraId="09F6F745">
            <w:pPr>
              <w:pStyle w:val="27"/>
              <w:widowControl/>
              <w:ind w:left="4173" w:leftChars="1310" w:hanging="1422" w:hangingChars="395"/>
              <w:textAlignment w:val="center"/>
              <w:rPr>
                <w:rFonts w:ascii="宋体" w:cs="宋体"/>
                <w:sz w:val="36"/>
                <w:szCs w:val="36"/>
              </w:rPr>
            </w:pPr>
            <w:r>
              <w:rPr>
                <w:rFonts w:hint="eastAsia" w:ascii="黑体" w:hAnsi="黑体" w:eastAsia="黑体" w:cs="宋体"/>
                <w:bCs/>
                <w:kern w:val="0"/>
                <w:sz w:val="36"/>
                <w:szCs w:val="36"/>
              </w:rPr>
              <w:t>项目支出绩效目标完成情况表</w:t>
            </w:r>
            <w:r>
              <w:rPr>
                <w:rFonts w:ascii="宋体" w:cs="宋体"/>
                <w:b/>
                <w:bCs/>
                <w:kern w:val="0"/>
                <w:sz w:val="36"/>
                <w:szCs w:val="36"/>
              </w:rPr>
              <w:br w:type="textWrapping"/>
            </w:r>
            <w:r>
              <w:rPr>
                <w:rFonts w:ascii="宋体" w:hAnsi="宋体" w:cs="宋体"/>
                <w:kern w:val="0"/>
                <w:sz w:val="36"/>
                <w:szCs w:val="36"/>
              </w:rPr>
              <w:t xml:space="preserve">(2018 </w:t>
            </w:r>
            <w:r>
              <w:rPr>
                <w:rFonts w:hint="eastAsia" w:ascii="宋体" w:hAnsi="宋体" w:cs="宋体"/>
                <w:kern w:val="0"/>
                <w:sz w:val="36"/>
                <w:szCs w:val="36"/>
              </w:rPr>
              <w:t>年度</w:t>
            </w:r>
            <w:r>
              <w:rPr>
                <w:rFonts w:ascii="宋体" w:hAnsi="宋体" w:cs="宋体"/>
                <w:kern w:val="0"/>
                <w:sz w:val="36"/>
                <w:szCs w:val="36"/>
              </w:rPr>
              <w:t>)</w:t>
            </w:r>
          </w:p>
        </w:tc>
      </w:tr>
      <w:tr w14:paraId="7136F17A">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D5FE5C">
            <w:pPr>
              <w:widowControl/>
              <w:jc w:val="center"/>
              <w:textAlignment w:val="center"/>
              <w:rPr>
                <w:rFonts w:asci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DE0F6E">
            <w:pPr>
              <w:widowControl/>
              <w:jc w:val="center"/>
              <w:textAlignment w:val="center"/>
              <w:rPr>
                <w:rFonts w:ascii="宋体" w:cs="宋体"/>
                <w:sz w:val="24"/>
              </w:rPr>
            </w:pPr>
            <w:r>
              <w:rPr>
                <w:rFonts w:hint="eastAsia" w:ascii="仿宋_GB2312" w:hAnsi="仿宋_GB2312" w:eastAsia="仿宋_GB2312" w:cs="仿宋_GB2312"/>
                <w:sz w:val="32"/>
                <w:szCs w:val="32"/>
              </w:rPr>
              <w:t>船山区及市直园区土地利用变更调查工作及全市成果质量汇总</w:t>
            </w:r>
          </w:p>
        </w:tc>
      </w:tr>
      <w:tr w14:paraId="3FFAF623">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74208E">
            <w:pPr>
              <w:widowControl/>
              <w:jc w:val="center"/>
              <w:textAlignment w:val="center"/>
              <w:rPr>
                <w:rFonts w:asci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2803FD">
            <w:pPr>
              <w:widowControl/>
              <w:jc w:val="center"/>
              <w:textAlignment w:val="center"/>
              <w:rPr>
                <w:rFonts w:ascii="宋体" w:cs="宋体"/>
                <w:sz w:val="24"/>
              </w:rPr>
            </w:pPr>
            <w:r>
              <w:rPr>
                <w:rFonts w:hint="eastAsia" w:ascii="宋体" w:cs="宋体"/>
                <w:sz w:val="24"/>
              </w:rPr>
              <w:t>遂宁市国土资源局</w:t>
            </w:r>
          </w:p>
        </w:tc>
      </w:tr>
      <w:tr w14:paraId="55F974B5">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B7F5AF">
            <w:pPr>
              <w:widowControl/>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34E0D9">
            <w:pPr>
              <w:widowControl/>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09B89F">
            <w:pPr>
              <w:widowControl/>
              <w:jc w:val="center"/>
              <w:textAlignment w:val="center"/>
              <w:rPr>
                <w:rFonts w:ascii="宋体" w:cs="宋体"/>
                <w:sz w:val="24"/>
              </w:rPr>
            </w:pPr>
            <w:r>
              <w:rPr>
                <w:rFonts w:hint="eastAsia" w:ascii="宋体" w:cs="宋体"/>
                <w:sz w:val="24"/>
              </w:rPr>
              <w:t>40万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60B967">
            <w:pPr>
              <w:widowControl/>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D85D36">
            <w:pPr>
              <w:widowControl/>
              <w:jc w:val="center"/>
              <w:textAlignment w:val="center"/>
              <w:rPr>
                <w:rFonts w:ascii="宋体" w:cs="宋体"/>
                <w:sz w:val="24"/>
              </w:rPr>
            </w:pPr>
            <w:r>
              <w:rPr>
                <w:rFonts w:hint="eastAsia" w:ascii="宋体" w:cs="宋体"/>
                <w:sz w:val="24"/>
              </w:rPr>
              <w:t>25.5万</w:t>
            </w:r>
          </w:p>
        </w:tc>
      </w:tr>
      <w:tr w14:paraId="0497B606">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F554D1B">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1808F1">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283AB8">
            <w:pPr>
              <w:widowControl/>
              <w:jc w:val="center"/>
              <w:textAlignment w:val="center"/>
              <w:rPr>
                <w:rFonts w:ascii="宋体" w:cs="宋体"/>
                <w:sz w:val="24"/>
              </w:rPr>
            </w:pPr>
            <w:r>
              <w:rPr>
                <w:rFonts w:hint="eastAsia" w:ascii="宋体" w:cs="宋体"/>
                <w:sz w:val="24"/>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9046AD">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1874C8">
            <w:pPr>
              <w:widowControl/>
              <w:jc w:val="center"/>
              <w:textAlignment w:val="center"/>
              <w:rPr>
                <w:rFonts w:ascii="宋体" w:cs="宋体"/>
                <w:sz w:val="24"/>
              </w:rPr>
            </w:pPr>
            <w:r>
              <w:rPr>
                <w:rFonts w:hint="eastAsia" w:ascii="宋体" w:cs="宋体"/>
                <w:sz w:val="24"/>
              </w:rPr>
              <w:t>25.5</w:t>
            </w:r>
          </w:p>
        </w:tc>
      </w:tr>
      <w:tr w14:paraId="1461E340">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D816E08">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858408">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C8A988">
            <w:pPr>
              <w:widowControl/>
              <w:jc w:val="center"/>
              <w:textAlignment w:val="center"/>
              <w:rPr>
                <w:rFonts w:ascii="宋体" w:cs="宋体"/>
                <w:sz w:val="24"/>
              </w:rPr>
            </w:pPr>
            <w:r>
              <w:rPr>
                <w:rFonts w:ascii="宋体" w:cs="宋体"/>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1D4963">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6A6B0E">
            <w:pPr>
              <w:jc w:val="center"/>
              <w:rPr>
                <w:rFonts w:ascii="宋体" w:cs="宋体"/>
                <w:sz w:val="24"/>
              </w:rPr>
            </w:pPr>
            <w:r>
              <w:rPr>
                <w:rFonts w:hint="eastAsia" w:ascii="宋体" w:cs="宋体"/>
                <w:sz w:val="24"/>
              </w:rPr>
              <w:t>0</w:t>
            </w:r>
          </w:p>
        </w:tc>
      </w:tr>
      <w:tr w14:paraId="60EBD0C2">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147D45">
            <w:pPr>
              <w:widowControl/>
              <w:jc w:val="center"/>
              <w:textAlignment w:val="center"/>
              <w:rPr>
                <w:rFonts w:asci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6CD497">
            <w:pPr>
              <w:widowControl/>
              <w:jc w:val="center"/>
              <w:textAlignment w:val="center"/>
              <w:rPr>
                <w:rFonts w:asci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2E9AAF">
            <w:pPr>
              <w:widowControl/>
              <w:jc w:val="center"/>
              <w:textAlignment w:val="center"/>
              <w:rPr>
                <w:rFonts w:ascii="宋体" w:cs="宋体"/>
                <w:sz w:val="24"/>
              </w:rPr>
            </w:pPr>
            <w:r>
              <w:rPr>
                <w:rFonts w:hint="eastAsia" w:ascii="宋体" w:hAnsi="宋体" w:cs="宋体"/>
                <w:kern w:val="0"/>
                <w:sz w:val="24"/>
              </w:rPr>
              <w:t>实际完成目标</w:t>
            </w:r>
          </w:p>
        </w:tc>
      </w:tr>
      <w:tr w14:paraId="76001787">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1438D49">
            <w:pPr>
              <w:widowControl/>
              <w:jc w:val="left"/>
              <w:rPr>
                <w:rFonts w:asci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0FE123">
            <w:pPr>
              <w:widowControl/>
              <w:jc w:val="center"/>
              <w:textAlignment w:val="center"/>
              <w:rPr>
                <w:rFonts w:ascii="宋体" w:cs="宋体"/>
                <w:sz w:val="24"/>
              </w:rPr>
            </w:pPr>
            <w:r>
              <w:rPr>
                <w:rFonts w:hint="eastAsia" w:ascii="宋体" w:cs="宋体"/>
                <w:sz w:val="24"/>
              </w:rPr>
              <w:t>根据省国土下发的监测图斑，对船山区及市直园区涉及变化图斑进行核查的现状地类、权属、面积等进行调查举证，建立数据库。对县区上报的变更调查成果进行抽查、质检，形成全市土地利用现状成果，深化成果应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BBBF42">
            <w:pPr>
              <w:widowControl/>
              <w:jc w:val="center"/>
              <w:textAlignment w:val="center"/>
              <w:rPr>
                <w:rFonts w:ascii="宋体" w:cs="宋体"/>
                <w:sz w:val="24"/>
              </w:rPr>
            </w:pPr>
            <w:r>
              <w:rPr>
                <w:rFonts w:hint="eastAsia" w:ascii="宋体" w:cs="宋体"/>
                <w:sz w:val="24"/>
              </w:rPr>
              <w:t>根据省国土下发的监测图斑，对船山区及市直园区涉及变化图斑进行核查的现状地类、权属、面积等进行调查举证，建立数据库。对县区上报的变更调查成果进行抽查、质检，形成全市土地利用现状成果，深化成果应用。</w:t>
            </w:r>
          </w:p>
        </w:tc>
      </w:tr>
      <w:tr w14:paraId="5A4FFFFC">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6299C9">
            <w:pPr>
              <w:widowControl/>
              <w:jc w:val="center"/>
              <w:textAlignment w:val="center"/>
              <w:rPr>
                <w:rFonts w:asci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B06FF8">
            <w:pPr>
              <w:widowControl/>
              <w:jc w:val="center"/>
              <w:textAlignment w:val="center"/>
              <w:rPr>
                <w:rFonts w:asci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43CACD">
            <w:pPr>
              <w:widowControl/>
              <w:jc w:val="center"/>
              <w:textAlignment w:val="center"/>
              <w:rPr>
                <w:rFonts w:asci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423614">
            <w:pPr>
              <w:widowControl/>
              <w:jc w:val="center"/>
              <w:textAlignment w:val="center"/>
              <w:rPr>
                <w:rFonts w:asci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0A6C7E">
            <w:pPr>
              <w:widowControl/>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E67BB0">
            <w:pPr>
              <w:widowControl/>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14:paraId="2D805915">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0DDB87A">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532AEC">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F2D53E">
            <w:pPr>
              <w:widowControl/>
              <w:jc w:val="center"/>
              <w:textAlignment w:val="center"/>
              <w:rPr>
                <w:rFonts w:ascii="宋体" w:cs="宋体"/>
                <w:sz w:val="24"/>
              </w:rPr>
            </w:pPr>
            <w:r>
              <w:rPr>
                <w:rFonts w:hint="eastAsia" w:asci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D73759">
            <w:pPr>
              <w:widowControl/>
              <w:jc w:val="center"/>
              <w:textAlignment w:val="center"/>
              <w:rPr>
                <w:rFonts w:ascii="宋体" w:cs="宋体"/>
                <w:sz w:val="24"/>
              </w:rPr>
            </w:pPr>
            <w:r>
              <w:rPr>
                <w:rFonts w:hint="eastAsia" w:ascii="宋体" w:cs="宋体"/>
                <w:sz w:val="24"/>
              </w:rPr>
              <w:t>完成成果分析报告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B74C04">
            <w:pPr>
              <w:widowControl/>
              <w:jc w:val="center"/>
              <w:textAlignment w:val="center"/>
              <w:rPr>
                <w:rFonts w:ascii="宋体" w:cs="宋体"/>
                <w:sz w:val="24"/>
              </w:rPr>
            </w:pPr>
            <w:r>
              <w:rPr>
                <w:rFonts w:hint="eastAsia" w:ascii="宋体" w:cs="宋体"/>
                <w:sz w:val="24"/>
              </w:rPr>
              <w:t>1篇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BC517C">
            <w:pPr>
              <w:widowControl/>
              <w:jc w:val="center"/>
              <w:textAlignment w:val="center"/>
              <w:rPr>
                <w:rFonts w:ascii="宋体" w:cs="宋体"/>
                <w:sz w:val="24"/>
              </w:rPr>
            </w:pPr>
            <w:r>
              <w:rPr>
                <w:rFonts w:hint="eastAsia" w:ascii="宋体" w:cs="宋体"/>
                <w:sz w:val="24"/>
              </w:rPr>
              <w:t>1篇</w:t>
            </w:r>
          </w:p>
        </w:tc>
      </w:tr>
      <w:tr w14:paraId="08C89096">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6EC9F29">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BF2A02">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B19657">
            <w:pPr>
              <w:widowControl/>
              <w:jc w:val="center"/>
              <w:textAlignment w:val="center"/>
              <w:rPr>
                <w:rFonts w:ascii="宋体" w:cs="宋体"/>
                <w:sz w:val="24"/>
              </w:rPr>
            </w:pPr>
            <w:r>
              <w:rPr>
                <w:rFonts w:hint="eastAsia" w:asci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875BCE">
            <w:pPr>
              <w:widowControl/>
              <w:jc w:val="center"/>
              <w:textAlignment w:val="center"/>
              <w:rPr>
                <w:rFonts w:ascii="宋体" w:cs="宋体"/>
                <w:sz w:val="24"/>
              </w:rPr>
            </w:pPr>
            <w:r>
              <w:rPr>
                <w:rFonts w:hint="eastAsia" w:ascii="宋体" w:cs="宋体"/>
                <w:sz w:val="24"/>
              </w:rPr>
              <w:t>按合同要求完成规定任务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3F0032">
            <w:pPr>
              <w:widowControl/>
              <w:jc w:val="center"/>
              <w:textAlignment w:val="center"/>
              <w:rPr>
                <w:rFonts w:ascii="宋体" w:cs="宋体"/>
                <w:sz w:val="24"/>
              </w:rPr>
            </w:pPr>
            <w:r>
              <w:rPr>
                <w:rFonts w:hint="eastAsia" w:ascii="宋体" w:cs="宋体"/>
                <w:sz w:val="24"/>
              </w:rPr>
              <w:t>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A76AD9">
            <w:pPr>
              <w:widowControl/>
              <w:jc w:val="center"/>
              <w:textAlignment w:val="center"/>
              <w:rPr>
                <w:rFonts w:ascii="宋体" w:cs="宋体"/>
                <w:sz w:val="24"/>
              </w:rPr>
            </w:pPr>
            <w:r>
              <w:rPr>
                <w:rFonts w:hint="eastAsia" w:ascii="宋体" w:cs="宋体"/>
                <w:sz w:val="24"/>
              </w:rPr>
              <w:t>完成</w:t>
            </w:r>
          </w:p>
        </w:tc>
      </w:tr>
      <w:tr w14:paraId="4573AFDF">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5A9F71C">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0DCEC3">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0A4630">
            <w:pPr>
              <w:widowControl/>
              <w:jc w:val="center"/>
              <w:textAlignment w:val="center"/>
              <w:rPr>
                <w:rFonts w:ascii="宋体" w:cs="宋体"/>
                <w:sz w:val="24"/>
              </w:rPr>
            </w:pPr>
            <w:r>
              <w:rPr>
                <w:rFonts w:hint="eastAsia" w:asci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A8B5D6">
            <w:pPr>
              <w:widowControl/>
              <w:jc w:val="center"/>
              <w:textAlignment w:val="center"/>
              <w:rPr>
                <w:rFonts w:ascii="宋体" w:cs="宋体"/>
                <w:sz w:val="24"/>
              </w:rPr>
            </w:pPr>
            <w:r>
              <w:rPr>
                <w:rFonts w:hint="eastAsia" w:ascii="宋体" w:cs="宋体"/>
                <w:sz w:val="24"/>
              </w:rPr>
              <w:t>成果验收合格率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5E3273">
            <w:pPr>
              <w:widowControl/>
              <w:jc w:val="center"/>
              <w:textAlignment w:val="center"/>
              <w:rPr>
                <w:rFonts w:ascii="宋体" w:cs="宋体"/>
                <w:sz w:val="24"/>
              </w:rPr>
            </w:pPr>
            <w:r>
              <w:rPr>
                <w:rFonts w:hint="eastAsia" w:ascii="宋体" w:cs="宋体"/>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2009AF">
            <w:pPr>
              <w:widowControl/>
              <w:jc w:val="center"/>
              <w:textAlignment w:val="center"/>
              <w:rPr>
                <w:rFonts w:ascii="宋体" w:cs="宋体"/>
                <w:sz w:val="24"/>
              </w:rPr>
            </w:pPr>
            <w:r>
              <w:rPr>
                <w:rFonts w:hint="eastAsia" w:ascii="宋体" w:cs="宋体"/>
                <w:sz w:val="24"/>
              </w:rPr>
              <w:t>100%</w:t>
            </w:r>
          </w:p>
        </w:tc>
      </w:tr>
      <w:tr w14:paraId="4D187D2B">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5249691">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87CC67">
            <w:pPr>
              <w:widowControl/>
              <w:jc w:val="center"/>
              <w:textAlignment w:val="center"/>
              <w:rPr>
                <w:rFonts w:ascii="宋体" w:cs="宋体"/>
                <w:kern w:val="0"/>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6BFB51">
            <w:pPr>
              <w:widowControl/>
              <w:jc w:val="center"/>
              <w:textAlignment w:val="center"/>
              <w:rPr>
                <w:rFonts w:ascii="宋体" w:cs="宋体"/>
                <w:sz w:val="24"/>
              </w:rPr>
            </w:pPr>
            <w:r>
              <w:rPr>
                <w:rFonts w:hint="eastAsia" w:ascii="宋体"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E7F6A4">
            <w:pPr>
              <w:widowControl/>
              <w:jc w:val="center"/>
              <w:textAlignment w:val="center"/>
              <w:rPr>
                <w:rFonts w:ascii="宋体" w:cs="宋体"/>
                <w:sz w:val="24"/>
              </w:rPr>
            </w:pPr>
            <w:r>
              <w:rPr>
                <w:rFonts w:hint="eastAsia" w:ascii="宋体" w:cs="宋体"/>
                <w:sz w:val="24"/>
              </w:rPr>
              <w:t>项目按期完成率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71A46A">
            <w:pPr>
              <w:widowControl/>
              <w:jc w:val="center"/>
              <w:textAlignment w:val="center"/>
              <w:rPr>
                <w:rFonts w:ascii="宋体" w:cs="宋体"/>
                <w:sz w:val="24"/>
              </w:rPr>
            </w:pPr>
            <w:r>
              <w:rPr>
                <w:rFonts w:hint="eastAsia" w:ascii="宋体" w:cs="宋体"/>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197FF1">
            <w:pPr>
              <w:widowControl/>
              <w:jc w:val="center"/>
              <w:textAlignment w:val="center"/>
              <w:rPr>
                <w:rFonts w:ascii="宋体" w:cs="宋体"/>
                <w:sz w:val="24"/>
              </w:rPr>
            </w:pPr>
            <w:r>
              <w:rPr>
                <w:rFonts w:hint="eastAsia" w:ascii="宋体" w:cs="宋体"/>
                <w:sz w:val="24"/>
              </w:rPr>
              <w:t>100%</w:t>
            </w:r>
          </w:p>
        </w:tc>
      </w:tr>
      <w:tr w14:paraId="616ECDCA">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21F76B1">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AF8121">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6F3C91">
            <w:pPr>
              <w:widowControl/>
              <w:jc w:val="center"/>
              <w:textAlignment w:val="center"/>
              <w:rPr>
                <w:rFonts w:ascii="宋体" w:cs="宋体"/>
                <w:sz w:val="24"/>
              </w:rPr>
            </w:pPr>
            <w:r>
              <w:rPr>
                <w:rFonts w:hint="eastAsia" w:ascii="宋体" w:cs="宋体"/>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16B812">
            <w:pPr>
              <w:widowControl/>
              <w:jc w:val="center"/>
              <w:textAlignment w:val="center"/>
              <w:rPr>
                <w:rFonts w:ascii="宋体" w:cs="宋体"/>
                <w:sz w:val="24"/>
              </w:rPr>
            </w:pPr>
            <w:r>
              <w:rPr>
                <w:rFonts w:hint="eastAsia" w:ascii="宋体" w:cs="宋体"/>
                <w:sz w:val="24"/>
              </w:rPr>
              <w:t>采购（租赁等）成本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A397BC">
            <w:pPr>
              <w:widowControl/>
              <w:jc w:val="center"/>
              <w:textAlignment w:val="center"/>
              <w:rPr>
                <w:rFonts w:ascii="宋体" w:cs="宋体"/>
                <w:sz w:val="24"/>
              </w:rPr>
            </w:pPr>
            <w:r>
              <w:rPr>
                <w:rFonts w:hint="eastAsia" w:ascii="宋体" w:cs="宋体"/>
                <w:sz w:val="24"/>
              </w:rPr>
              <w:t>不超过40万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C8446A">
            <w:pPr>
              <w:widowControl/>
              <w:jc w:val="center"/>
              <w:textAlignment w:val="center"/>
              <w:rPr>
                <w:rFonts w:ascii="宋体" w:cs="宋体"/>
                <w:sz w:val="24"/>
              </w:rPr>
            </w:pPr>
            <w:r>
              <w:rPr>
                <w:rFonts w:hint="eastAsia" w:ascii="宋体" w:cs="宋体"/>
                <w:sz w:val="24"/>
              </w:rPr>
              <w:t>25.5万</w:t>
            </w:r>
          </w:p>
        </w:tc>
      </w:tr>
      <w:tr w14:paraId="0F44458E">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8D3FD3B">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DC71A1">
            <w:pPr>
              <w:widowControl/>
              <w:jc w:val="center"/>
              <w:textAlignment w:val="center"/>
              <w:rPr>
                <w:rFonts w:asci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993F38">
            <w:pPr>
              <w:widowControl/>
              <w:jc w:val="center"/>
              <w:textAlignment w:val="center"/>
              <w:rPr>
                <w:rFonts w:ascii="宋体" w:cs="宋体"/>
                <w:sz w:val="24"/>
              </w:rPr>
            </w:pPr>
            <w:r>
              <w:rPr>
                <w:rFonts w:hint="eastAsia" w:ascii="宋体" w:cs="宋体"/>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C7C55E">
            <w:pPr>
              <w:widowControl/>
              <w:jc w:val="center"/>
              <w:textAlignment w:val="center"/>
              <w:rPr>
                <w:rFonts w:ascii="宋体" w:cs="宋体"/>
                <w:sz w:val="24"/>
              </w:rPr>
            </w:pPr>
            <w:r>
              <w:rPr>
                <w:rFonts w:hint="eastAsia" w:ascii="宋体" w:cs="宋体"/>
                <w:sz w:val="24"/>
              </w:rPr>
              <w:t>对国民经济和社会发展工作的促进作用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268D4F">
            <w:pPr>
              <w:widowControl/>
              <w:jc w:val="center"/>
              <w:textAlignment w:val="center"/>
              <w:rPr>
                <w:rFonts w:ascii="宋体" w:cs="宋体"/>
                <w:sz w:val="24"/>
              </w:rPr>
            </w:pPr>
            <w:r>
              <w:rPr>
                <w:rFonts w:hint="eastAsia" w:ascii="宋体" w:cs="宋体"/>
                <w:sz w:val="24"/>
              </w:rPr>
              <w:t>满足国家根据国民经济和社会发展需要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915832">
            <w:pPr>
              <w:widowControl/>
              <w:jc w:val="center"/>
              <w:textAlignment w:val="center"/>
              <w:rPr>
                <w:rFonts w:ascii="宋体" w:cs="宋体"/>
                <w:sz w:val="24"/>
              </w:rPr>
            </w:pPr>
            <w:r>
              <w:rPr>
                <w:rFonts w:hint="eastAsia" w:ascii="宋体" w:cs="宋体"/>
                <w:sz w:val="24"/>
              </w:rPr>
              <w:t>满足国家根据国民经济和社会发展需要</w:t>
            </w:r>
          </w:p>
        </w:tc>
      </w:tr>
      <w:tr w14:paraId="7D971D4E">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374135A">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7BE20F">
            <w:pPr>
              <w:widowControl/>
              <w:jc w:val="center"/>
              <w:textAlignment w:val="center"/>
              <w:rPr>
                <w:rFonts w:asci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FFD27F">
            <w:pPr>
              <w:widowControl/>
              <w:jc w:val="center"/>
              <w:textAlignment w:val="center"/>
              <w:rPr>
                <w:rFonts w:ascii="宋体" w:cs="宋体"/>
                <w:sz w:val="24"/>
              </w:rPr>
            </w:pPr>
            <w:r>
              <w:rPr>
                <w:rFonts w:hint="eastAsia" w:ascii="宋体" w:cs="宋体"/>
                <w:sz w:val="24"/>
              </w:rPr>
              <w:t>可持续性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10D2ED">
            <w:pPr>
              <w:widowControl/>
              <w:jc w:val="center"/>
              <w:textAlignment w:val="center"/>
              <w:rPr>
                <w:rFonts w:ascii="宋体" w:cs="宋体"/>
                <w:sz w:val="24"/>
              </w:rPr>
            </w:pPr>
            <w:r>
              <w:rPr>
                <w:rFonts w:hint="eastAsia" w:ascii="宋体" w:cs="宋体"/>
                <w:sz w:val="24"/>
              </w:rPr>
              <w:t>成果使用年限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053833">
            <w:pPr>
              <w:widowControl/>
              <w:jc w:val="center"/>
              <w:textAlignment w:val="center"/>
              <w:rPr>
                <w:rFonts w:ascii="宋体" w:cs="宋体"/>
                <w:sz w:val="24"/>
              </w:rPr>
            </w:pPr>
            <w:r>
              <w:rPr>
                <w:rFonts w:hint="eastAsia" w:ascii="宋体" w:cs="宋体"/>
                <w:sz w:val="24"/>
              </w:rPr>
              <w:t>1年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3FA5C9">
            <w:pPr>
              <w:widowControl/>
              <w:jc w:val="center"/>
              <w:textAlignment w:val="center"/>
              <w:rPr>
                <w:rFonts w:ascii="宋体" w:cs="宋体"/>
                <w:sz w:val="24"/>
              </w:rPr>
            </w:pPr>
            <w:r>
              <w:rPr>
                <w:rFonts w:hint="eastAsia" w:ascii="宋体" w:cs="宋体"/>
                <w:sz w:val="24"/>
              </w:rPr>
              <w:t>1年</w:t>
            </w:r>
          </w:p>
        </w:tc>
      </w:tr>
      <w:tr w14:paraId="7954257E">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947A828">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AFD9E7">
            <w:pPr>
              <w:widowControl/>
              <w:jc w:val="center"/>
              <w:textAlignment w:val="center"/>
              <w:rPr>
                <w:rFonts w:asci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7AD15C">
            <w:pPr>
              <w:widowControl/>
              <w:jc w:val="center"/>
              <w:textAlignment w:val="center"/>
              <w:rPr>
                <w:rFonts w:ascii="宋体" w:cs="宋体"/>
                <w:sz w:val="24"/>
              </w:rPr>
            </w:pPr>
            <w:r>
              <w:rPr>
                <w:rFonts w:hint="eastAsia" w:ascii="宋体" w:cs="宋体"/>
                <w:sz w:val="24"/>
              </w:rPr>
              <w:t>生态效益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7EA03D">
            <w:pPr>
              <w:widowControl/>
              <w:jc w:val="center"/>
              <w:textAlignment w:val="center"/>
              <w:rPr>
                <w:rFonts w:ascii="宋体" w:cs="宋体"/>
                <w:sz w:val="24"/>
              </w:rPr>
            </w:pPr>
            <w:r>
              <w:rPr>
                <w:rFonts w:hint="eastAsia" w:ascii="宋体" w:cs="宋体"/>
                <w:sz w:val="24"/>
              </w:rPr>
              <w:t>促进生态文明建设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F678A9">
            <w:pPr>
              <w:widowControl/>
              <w:jc w:val="center"/>
              <w:textAlignment w:val="center"/>
              <w:rPr>
                <w:rFonts w:ascii="宋体" w:cs="宋体"/>
                <w:sz w:val="24"/>
              </w:rPr>
            </w:pPr>
            <w:r>
              <w:rPr>
                <w:rFonts w:hint="eastAsia" w:ascii="宋体" w:cs="宋体"/>
                <w:sz w:val="24"/>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B5697F">
            <w:pPr>
              <w:widowControl/>
              <w:jc w:val="center"/>
              <w:textAlignment w:val="center"/>
              <w:rPr>
                <w:rFonts w:ascii="宋体" w:cs="宋体"/>
                <w:sz w:val="24"/>
              </w:rPr>
            </w:pPr>
            <w:r>
              <w:rPr>
                <w:rFonts w:hint="eastAsia" w:ascii="宋体" w:cs="宋体"/>
                <w:sz w:val="24"/>
              </w:rPr>
              <w:t>有效</w:t>
            </w:r>
          </w:p>
        </w:tc>
      </w:tr>
      <w:tr w14:paraId="12A92391">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78F4530">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48EE90">
            <w:pPr>
              <w:widowControl/>
              <w:jc w:val="center"/>
              <w:textAlignment w:val="center"/>
              <w:rPr>
                <w:rFonts w:asci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6ADF21">
            <w:pPr>
              <w:widowControl/>
              <w:jc w:val="center"/>
              <w:textAlignment w:val="center"/>
              <w:rPr>
                <w:rFonts w:ascii="宋体" w:cs="宋体"/>
                <w:sz w:val="24"/>
              </w:rPr>
            </w:pPr>
            <w:r>
              <w:rPr>
                <w:rFonts w:hint="eastAsia" w:ascii="宋体" w:hAnsi="宋体" w:cs="宋体"/>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35A412">
            <w:pPr>
              <w:widowControl/>
              <w:jc w:val="center"/>
              <w:textAlignment w:val="center"/>
              <w:rPr>
                <w:rFonts w:ascii="宋体" w:cs="宋体"/>
                <w:sz w:val="24"/>
              </w:rPr>
            </w:pPr>
            <w:r>
              <w:rPr>
                <w:rFonts w:hint="eastAsia" w:ascii="宋体" w:cs="宋体"/>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A99494">
            <w:pPr>
              <w:widowControl/>
              <w:jc w:val="center"/>
              <w:textAlignment w:val="center"/>
              <w:rPr>
                <w:rFonts w:ascii="宋体" w:cs="宋体"/>
                <w:sz w:val="24"/>
              </w:rPr>
            </w:pPr>
            <w:r>
              <w:rPr>
                <w:rFonts w:hint="eastAsia" w:ascii="宋体" w:cs="宋体"/>
                <w:sz w:val="24"/>
              </w:rPr>
              <w:t>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8D1ABF">
            <w:pPr>
              <w:widowControl/>
              <w:jc w:val="center"/>
              <w:textAlignment w:val="center"/>
              <w:rPr>
                <w:rFonts w:ascii="宋体" w:cs="宋体"/>
                <w:sz w:val="24"/>
              </w:rPr>
            </w:pPr>
            <w:r>
              <w:rPr>
                <w:rFonts w:hint="eastAsia" w:ascii="宋体" w:cs="宋体"/>
                <w:sz w:val="24"/>
              </w:rPr>
              <w:t>95%以上</w:t>
            </w:r>
          </w:p>
        </w:tc>
      </w:tr>
    </w:tbl>
    <w:p w14:paraId="49B15A79">
      <w:pPr>
        <w:rPr>
          <w:rFonts w:ascii="Calibri" w:hAnsi="Calibri"/>
        </w:rPr>
      </w:pPr>
    </w:p>
    <w:p w14:paraId="1B86A63E">
      <w:pPr>
        <w:rPr>
          <w:rFonts w:ascii="Calibri" w:hAnsi="Calibri"/>
        </w:rPr>
      </w:pPr>
    </w:p>
    <w:p w14:paraId="2A11FDF3">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656"/>
        <w:gridCol w:w="711"/>
        <w:gridCol w:w="476"/>
        <w:gridCol w:w="549"/>
        <w:gridCol w:w="638"/>
        <w:gridCol w:w="1754"/>
        <w:gridCol w:w="400"/>
        <w:gridCol w:w="1994"/>
        <w:gridCol w:w="2392"/>
      </w:tblGrid>
      <w:tr w14:paraId="259D1380">
        <w:tblPrEx>
          <w:tblCellMar>
            <w:top w:w="0" w:type="dxa"/>
            <w:left w:w="0" w:type="dxa"/>
            <w:bottom w:w="0" w:type="dxa"/>
            <w:right w:w="0" w:type="dxa"/>
          </w:tblCellMar>
        </w:tblPrEx>
        <w:trPr>
          <w:trHeight w:val="1034" w:hRule="atLeast"/>
        </w:trPr>
        <w:tc>
          <w:tcPr>
            <w:tcW w:w="9960" w:type="dxa"/>
            <w:gridSpan w:val="10"/>
            <w:tcMar>
              <w:top w:w="15" w:type="dxa"/>
              <w:left w:w="15" w:type="dxa"/>
              <w:bottom w:w="0" w:type="dxa"/>
              <w:right w:w="15" w:type="dxa"/>
            </w:tcMar>
            <w:vAlign w:val="center"/>
          </w:tcPr>
          <w:p w14:paraId="091176A9">
            <w:pPr>
              <w:pStyle w:val="27"/>
              <w:widowControl/>
              <w:ind w:left="4173" w:leftChars="1310" w:hanging="1422" w:hangingChars="395"/>
              <w:textAlignment w:val="center"/>
              <w:rPr>
                <w:rFonts w:ascii="黑体" w:hAnsi="黑体" w:eastAsia="黑体" w:cs="宋体"/>
                <w:bCs/>
                <w:kern w:val="0"/>
                <w:sz w:val="36"/>
                <w:szCs w:val="36"/>
              </w:rPr>
            </w:pPr>
          </w:p>
          <w:p w14:paraId="0E13B6AA">
            <w:pPr>
              <w:pStyle w:val="27"/>
              <w:widowControl/>
              <w:ind w:left="4173" w:leftChars="1310" w:hanging="1422" w:hangingChars="395"/>
              <w:textAlignment w:val="center"/>
              <w:rPr>
                <w:rFonts w:ascii="黑体" w:hAnsi="黑体" w:eastAsia="黑体" w:cs="宋体"/>
                <w:bCs/>
                <w:kern w:val="0"/>
                <w:sz w:val="36"/>
                <w:szCs w:val="36"/>
              </w:rPr>
            </w:pPr>
          </w:p>
          <w:p w14:paraId="0BAE33F2">
            <w:pPr>
              <w:pStyle w:val="27"/>
              <w:widowControl/>
              <w:ind w:left="4173" w:leftChars="1310" w:hanging="1422" w:hangingChars="395"/>
              <w:textAlignment w:val="center"/>
              <w:rPr>
                <w:rFonts w:ascii="黑体" w:hAnsi="黑体" w:eastAsia="黑体" w:cs="宋体"/>
                <w:bCs/>
                <w:kern w:val="0"/>
                <w:sz w:val="36"/>
                <w:szCs w:val="36"/>
              </w:rPr>
            </w:pPr>
          </w:p>
          <w:p w14:paraId="084FC214">
            <w:pPr>
              <w:pStyle w:val="27"/>
              <w:widowControl/>
              <w:ind w:left="4173" w:leftChars="1310" w:hanging="1422" w:hangingChars="395"/>
              <w:textAlignment w:val="center"/>
              <w:rPr>
                <w:rFonts w:ascii="黑体" w:hAnsi="黑体" w:eastAsia="黑体" w:cs="宋体"/>
                <w:bCs/>
                <w:kern w:val="0"/>
                <w:sz w:val="36"/>
                <w:szCs w:val="36"/>
              </w:rPr>
            </w:pPr>
          </w:p>
          <w:p w14:paraId="12CEAECB">
            <w:pPr>
              <w:pStyle w:val="27"/>
              <w:widowControl/>
              <w:ind w:left="4173" w:leftChars="1310" w:hanging="1422" w:hangingChars="395"/>
              <w:textAlignment w:val="center"/>
              <w:rPr>
                <w:rFonts w:ascii="黑体" w:hAnsi="黑体" w:eastAsia="黑体" w:cs="宋体"/>
                <w:bCs/>
                <w:kern w:val="0"/>
                <w:sz w:val="36"/>
                <w:szCs w:val="36"/>
              </w:rPr>
            </w:pPr>
          </w:p>
          <w:p w14:paraId="47C4032D">
            <w:pPr>
              <w:pStyle w:val="27"/>
              <w:widowControl/>
              <w:ind w:left="4173" w:leftChars="1310" w:hanging="1422" w:hangingChars="395"/>
              <w:textAlignment w:val="center"/>
              <w:rPr>
                <w:rFonts w:ascii="黑体" w:hAnsi="黑体" w:eastAsia="黑体" w:cs="宋体"/>
                <w:bCs/>
                <w:kern w:val="0"/>
                <w:sz w:val="36"/>
                <w:szCs w:val="36"/>
              </w:rPr>
            </w:pPr>
          </w:p>
          <w:p w14:paraId="530613FC">
            <w:pPr>
              <w:pStyle w:val="27"/>
              <w:widowControl/>
              <w:ind w:left="4173" w:leftChars="1310" w:hanging="1422" w:hangingChars="395"/>
              <w:textAlignment w:val="center"/>
              <w:rPr>
                <w:rFonts w:ascii="黑体" w:hAnsi="黑体" w:eastAsia="黑体" w:cs="宋体"/>
                <w:bCs/>
                <w:kern w:val="0"/>
                <w:sz w:val="36"/>
                <w:szCs w:val="36"/>
              </w:rPr>
            </w:pPr>
          </w:p>
          <w:p w14:paraId="0297CE39">
            <w:pPr>
              <w:pStyle w:val="27"/>
              <w:widowControl/>
              <w:ind w:left="4173" w:leftChars="1310" w:hanging="1422" w:hangingChars="395"/>
              <w:textAlignment w:val="center"/>
              <w:rPr>
                <w:rFonts w:ascii="黑体" w:hAnsi="黑体" w:eastAsia="黑体" w:cs="宋体"/>
                <w:bCs/>
                <w:kern w:val="0"/>
                <w:sz w:val="36"/>
                <w:szCs w:val="36"/>
              </w:rPr>
            </w:pPr>
          </w:p>
          <w:p w14:paraId="520809FE">
            <w:pPr>
              <w:pStyle w:val="27"/>
              <w:widowControl/>
              <w:ind w:left="4173" w:leftChars="1310" w:hanging="1422" w:hangingChars="395"/>
              <w:textAlignment w:val="center"/>
              <w:rPr>
                <w:rFonts w:ascii="黑体" w:hAnsi="黑体" w:eastAsia="黑体" w:cs="宋体"/>
                <w:bCs/>
                <w:kern w:val="0"/>
                <w:sz w:val="36"/>
                <w:szCs w:val="36"/>
              </w:rPr>
            </w:pPr>
          </w:p>
          <w:p w14:paraId="28F48BD5">
            <w:pPr>
              <w:pStyle w:val="27"/>
              <w:widowControl/>
              <w:ind w:left="4173" w:leftChars="1310" w:hanging="1422" w:hangingChars="395"/>
              <w:textAlignment w:val="center"/>
              <w:rPr>
                <w:rFonts w:ascii="黑体" w:hAnsi="黑体" w:eastAsia="黑体" w:cs="宋体"/>
                <w:bCs/>
                <w:kern w:val="0"/>
                <w:sz w:val="36"/>
                <w:szCs w:val="36"/>
              </w:rPr>
            </w:pPr>
          </w:p>
          <w:p w14:paraId="3EB282C8">
            <w:pPr>
              <w:pStyle w:val="27"/>
              <w:widowControl/>
              <w:ind w:firstLine="0" w:firstLineChars="0"/>
              <w:textAlignment w:val="center"/>
              <w:rPr>
                <w:rFonts w:ascii="黑体" w:hAnsi="黑体" w:eastAsia="黑体" w:cs="宋体"/>
                <w:bCs/>
                <w:kern w:val="0"/>
                <w:sz w:val="36"/>
                <w:szCs w:val="36"/>
              </w:rPr>
            </w:pPr>
          </w:p>
          <w:p w14:paraId="6EAAA595">
            <w:pPr>
              <w:pStyle w:val="27"/>
              <w:widowControl/>
              <w:ind w:left="4173" w:leftChars="1310" w:hanging="1422" w:hangingChars="395"/>
              <w:textAlignment w:val="center"/>
              <w:rPr>
                <w:rFonts w:ascii="宋体" w:cs="宋体"/>
                <w:sz w:val="36"/>
                <w:szCs w:val="36"/>
              </w:rPr>
            </w:pPr>
            <w:r>
              <w:rPr>
                <w:rFonts w:hint="eastAsia" w:ascii="黑体" w:hAnsi="黑体" w:eastAsia="黑体" w:cs="宋体"/>
                <w:bCs/>
                <w:kern w:val="0"/>
                <w:sz w:val="36"/>
                <w:szCs w:val="36"/>
              </w:rPr>
              <w:t>项目支出绩效目标完成情况表</w:t>
            </w:r>
            <w:r>
              <w:rPr>
                <w:rFonts w:ascii="宋体" w:cs="宋体"/>
                <w:b/>
                <w:bCs/>
                <w:kern w:val="0"/>
                <w:sz w:val="36"/>
                <w:szCs w:val="36"/>
              </w:rPr>
              <w:br w:type="textWrapping"/>
            </w:r>
            <w:r>
              <w:rPr>
                <w:rFonts w:ascii="宋体" w:hAnsi="宋体" w:cs="宋体"/>
                <w:kern w:val="0"/>
                <w:sz w:val="36"/>
                <w:szCs w:val="36"/>
              </w:rPr>
              <w:t xml:space="preserve">(2018 </w:t>
            </w:r>
            <w:r>
              <w:rPr>
                <w:rFonts w:hint="eastAsia" w:ascii="宋体" w:hAnsi="宋体" w:cs="宋体"/>
                <w:kern w:val="0"/>
                <w:sz w:val="36"/>
                <w:szCs w:val="36"/>
              </w:rPr>
              <w:t>年度</w:t>
            </w:r>
            <w:r>
              <w:rPr>
                <w:rFonts w:ascii="宋体" w:hAnsi="宋体" w:cs="宋体"/>
                <w:kern w:val="0"/>
                <w:sz w:val="36"/>
                <w:szCs w:val="36"/>
              </w:rPr>
              <w:t>)</w:t>
            </w:r>
          </w:p>
        </w:tc>
      </w:tr>
      <w:tr w14:paraId="6FDD9F80">
        <w:tblPrEx>
          <w:tblCellMar>
            <w:top w:w="0" w:type="dxa"/>
            <w:left w:w="0" w:type="dxa"/>
            <w:bottom w:w="0" w:type="dxa"/>
            <w:right w:w="0" w:type="dxa"/>
          </w:tblCellMar>
        </w:tblPrEx>
        <w:trPr>
          <w:trHeight w:val="276" w:hRule="atLeast"/>
        </w:trPr>
        <w:tc>
          <w:tcPr>
            <w:tcW w:w="278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522EFE">
            <w:pPr>
              <w:widowControl/>
              <w:jc w:val="center"/>
              <w:textAlignment w:val="center"/>
              <w:rPr>
                <w:rFonts w:ascii="宋体" w:cs="宋体"/>
                <w:sz w:val="24"/>
              </w:rPr>
            </w:pPr>
            <w:r>
              <w:rPr>
                <w:rFonts w:hint="eastAsia" w:ascii="宋体" w:hAnsi="宋体" w:cs="宋体"/>
                <w:kern w:val="0"/>
                <w:sz w:val="24"/>
              </w:rPr>
              <w:t>项目名称</w:t>
            </w:r>
          </w:p>
        </w:tc>
        <w:tc>
          <w:tcPr>
            <w:tcW w:w="717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23229D">
            <w:pPr>
              <w:widowControl/>
              <w:jc w:val="center"/>
              <w:textAlignment w:val="center"/>
              <w:rPr>
                <w:rFonts w:ascii="宋体" w:cs="宋体"/>
                <w:sz w:val="24"/>
              </w:rPr>
            </w:pPr>
            <w:r>
              <w:rPr>
                <w:rFonts w:hint="eastAsia" w:ascii="仿宋_GB2312" w:hAnsi="仿宋_GB2312" w:eastAsia="仿宋_GB2312" w:cs="仿宋_GB2312"/>
                <w:sz w:val="32"/>
                <w:szCs w:val="32"/>
              </w:rPr>
              <w:t>汛期技术合作服务项目</w:t>
            </w:r>
          </w:p>
        </w:tc>
      </w:tr>
      <w:tr w14:paraId="571A2F8C">
        <w:tblPrEx>
          <w:tblCellMar>
            <w:top w:w="0" w:type="dxa"/>
            <w:left w:w="0" w:type="dxa"/>
            <w:bottom w:w="0" w:type="dxa"/>
            <w:right w:w="0" w:type="dxa"/>
          </w:tblCellMar>
        </w:tblPrEx>
        <w:trPr>
          <w:trHeight w:val="276" w:hRule="atLeast"/>
        </w:trPr>
        <w:tc>
          <w:tcPr>
            <w:tcW w:w="278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E86EA8">
            <w:pPr>
              <w:widowControl/>
              <w:jc w:val="center"/>
              <w:textAlignment w:val="center"/>
              <w:rPr>
                <w:rFonts w:ascii="宋体" w:cs="宋体"/>
                <w:sz w:val="24"/>
              </w:rPr>
            </w:pPr>
            <w:r>
              <w:rPr>
                <w:rFonts w:hint="eastAsia" w:ascii="宋体" w:hAnsi="宋体" w:cs="宋体"/>
                <w:kern w:val="0"/>
                <w:sz w:val="24"/>
              </w:rPr>
              <w:t>预算单位</w:t>
            </w:r>
          </w:p>
        </w:tc>
        <w:tc>
          <w:tcPr>
            <w:tcW w:w="717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3167AB">
            <w:pPr>
              <w:widowControl/>
              <w:jc w:val="center"/>
              <w:textAlignment w:val="center"/>
              <w:rPr>
                <w:rFonts w:ascii="宋体" w:cs="宋体"/>
                <w:sz w:val="24"/>
              </w:rPr>
            </w:pPr>
            <w:r>
              <w:rPr>
                <w:rFonts w:hint="eastAsia" w:ascii="宋体" w:cs="宋体"/>
                <w:sz w:val="24"/>
              </w:rPr>
              <w:t>遂宁市国土资源局</w:t>
            </w:r>
          </w:p>
        </w:tc>
      </w:tr>
      <w:tr w14:paraId="7065D060">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691552">
            <w:pPr>
              <w:widowControl/>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3D0F1C">
            <w:pPr>
              <w:widowControl/>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F8AF93">
            <w:pPr>
              <w:widowControl/>
              <w:jc w:val="center"/>
              <w:textAlignment w:val="center"/>
              <w:rPr>
                <w:rFonts w:ascii="宋体" w:cs="宋体"/>
                <w:sz w:val="24"/>
              </w:rPr>
            </w:pPr>
            <w:r>
              <w:rPr>
                <w:rFonts w:hint="eastAsia" w:ascii="宋体" w:cs="宋体"/>
                <w:sz w:val="24"/>
              </w:rPr>
              <w:t>20万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D7EE8D">
            <w:pPr>
              <w:widowControl/>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581286">
            <w:pPr>
              <w:widowControl/>
              <w:jc w:val="center"/>
              <w:textAlignment w:val="center"/>
              <w:rPr>
                <w:rFonts w:ascii="宋体" w:cs="宋体"/>
                <w:sz w:val="24"/>
              </w:rPr>
            </w:pPr>
            <w:r>
              <w:rPr>
                <w:rFonts w:hint="eastAsia" w:ascii="宋体" w:cs="宋体"/>
                <w:sz w:val="24"/>
              </w:rPr>
              <w:t>20万</w:t>
            </w:r>
          </w:p>
        </w:tc>
      </w:tr>
      <w:tr w14:paraId="13E14E12">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D5E14E6">
            <w:pPr>
              <w:widowControl/>
              <w:jc w:val="left"/>
              <w:rPr>
                <w:rFonts w:ascii="宋体" w:cs="宋体"/>
                <w:sz w:val="24"/>
              </w:rPr>
            </w:pP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A1F719">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92CCF3">
            <w:pPr>
              <w:widowControl/>
              <w:jc w:val="center"/>
              <w:textAlignment w:val="center"/>
              <w:rPr>
                <w:rFonts w:ascii="宋体" w:cs="宋体"/>
                <w:sz w:val="24"/>
              </w:rPr>
            </w:pPr>
            <w:r>
              <w:rPr>
                <w:rFonts w:hint="eastAsia" w:ascii="宋体" w:cs="宋体"/>
                <w:sz w:val="24"/>
              </w:rPr>
              <w:t>20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1CD4A5">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B98A23">
            <w:pPr>
              <w:widowControl/>
              <w:jc w:val="center"/>
              <w:textAlignment w:val="center"/>
              <w:rPr>
                <w:rFonts w:ascii="宋体" w:cs="宋体"/>
                <w:sz w:val="24"/>
              </w:rPr>
            </w:pPr>
            <w:r>
              <w:rPr>
                <w:rFonts w:hint="eastAsia" w:ascii="宋体" w:cs="宋体"/>
                <w:sz w:val="24"/>
              </w:rPr>
              <w:t>20</w:t>
            </w:r>
          </w:p>
        </w:tc>
      </w:tr>
      <w:tr w14:paraId="125BBADE">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E2E2EC5">
            <w:pPr>
              <w:widowControl/>
              <w:jc w:val="left"/>
              <w:rPr>
                <w:rFonts w:ascii="宋体" w:cs="宋体"/>
                <w:sz w:val="24"/>
              </w:rPr>
            </w:pP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E685B7">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581C07">
            <w:pPr>
              <w:widowControl/>
              <w:jc w:val="center"/>
              <w:textAlignment w:val="center"/>
              <w:rPr>
                <w:rFonts w:ascii="宋体" w:cs="宋体"/>
                <w:sz w:val="24"/>
              </w:rPr>
            </w:pPr>
            <w:r>
              <w:rPr>
                <w:rFonts w:ascii="宋体" w:cs="宋体"/>
                <w:kern w:val="0"/>
                <w:sz w:val="24"/>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6DAD0D">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2C3426">
            <w:pPr>
              <w:jc w:val="center"/>
              <w:rPr>
                <w:rFonts w:ascii="宋体" w:cs="宋体"/>
                <w:sz w:val="24"/>
              </w:rPr>
            </w:pPr>
            <w:r>
              <w:rPr>
                <w:rFonts w:hint="eastAsia" w:ascii="宋体" w:cs="宋体"/>
                <w:sz w:val="24"/>
              </w:rPr>
              <w:t>0</w:t>
            </w:r>
          </w:p>
        </w:tc>
      </w:tr>
      <w:tr w14:paraId="7309F26F">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2BAB8E">
            <w:pPr>
              <w:widowControl/>
              <w:jc w:val="center"/>
              <w:textAlignment w:val="center"/>
              <w:rPr>
                <w:rFonts w:ascii="宋体" w:cs="宋体"/>
                <w:sz w:val="24"/>
              </w:rPr>
            </w:pPr>
            <w:r>
              <w:rPr>
                <w:rFonts w:hint="eastAsia" w:ascii="宋体" w:hAnsi="宋体" w:cs="宋体"/>
                <w:kern w:val="0"/>
                <w:sz w:val="24"/>
              </w:rPr>
              <w:t>年度目标完成情况</w:t>
            </w:r>
          </w:p>
        </w:tc>
        <w:tc>
          <w:tcPr>
            <w:tcW w:w="478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EE7C52">
            <w:pPr>
              <w:widowControl/>
              <w:jc w:val="center"/>
              <w:textAlignment w:val="center"/>
              <w:rPr>
                <w:rFonts w:ascii="宋体" w:cs="宋体"/>
                <w:sz w:val="24"/>
              </w:rPr>
            </w:pPr>
            <w:r>
              <w:rPr>
                <w:rFonts w:hint="eastAsia" w:ascii="宋体" w:hAnsi="宋体" w:cs="宋体"/>
                <w:kern w:val="0"/>
                <w:sz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94E42A">
            <w:pPr>
              <w:widowControl/>
              <w:jc w:val="center"/>
              <w:textAlignment w:val="center"/>
              <w:rPr>
                <w:rFonts w:ascii="宋体" w:cs="宋体"/>
                <w:sz w:val="24"/>
              </w:rPr>
            </w:pPr>
            <w:r>
              <w:rPr>
                <w:rFonts w:hint="eastAsia" w:ascii="宋体" w:hAnsi="宋体" w:cs="宋体"/>
                <w:kern w:val="0"/>
                <w:sz w:val="24"/>
              </w:rPr>
              <w:t>实际完成目标</w:t>
            </w:r>
          </w:p>
        </w:tc>
      </w:tr>
      <w:tr w14:paraId="73DDA080">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0518D07">
            <w:pPr>
              <w:widowControl/>
              <w:jc w:val="left"/>
              <w:rPr>
                <w:rFonts w:ascii="宋体" w:cs="宋体"/>
                <w:sz w:val="24"/>
              </w:rPr>
            </w:pPr>
          </w:p>
        </w:tc>
        <w:tc>
          <w:tcPr>
            <w:tcW w:w="478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1A295E">
            <w:pPr>
              <w:widowControl/>
              <w:jc w:val="center"/>
              <w:textAlignment w:val="center"/>
              <w:rPr>
                <w:rFonts w:ascii="宋体" w:cs="宋体"/>
                <w:sz w:val="24"/>
              </w:rPr>
            </w:pPr>
            <w:r>
              <w:rPr>
                <w:rFonts w:hint="eastAsia" w:ascii="宋体" w:cs="宋体"/>
                <w:sz w:val="24"/>
              </w:rPr>
              <w:t>地灾防治汛期技术督导合作、综合防治技术服务费、气象预警信息服务、年度综合防治体系建设方案编制、地灾和地震宣传培训</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A9239C">
            <w:pPr>
              <w:widowControl/>
              <w:jc w:val="center"/>
              <w:textAlignment w:val="center"/>
              <w:rPr>
                <w:rFonts w:ascii="宋体" w:cs="宋体"/>
                <w:sz w:val="24"/>
              </w:rPr>
            </w:pPr>
            <w:r>
              <w:rPr>
                <w:rFonts w:hint="eastAsia" w:ascii="宋体" w:cs="宋体"/>
                <w:sz w:val="24"/>
              </w:rPr>
              <w:t>地灾防治汛期技术督导合作、综合防治技术服务费、气象预警信息服务、年度综合防治体系建设方案编制、地灾和地震宣传培训</w:t>
            </w:r>
          </w:p>
        </w:tc>
      </w:tr>
      <w:tr w14:paraId="0CDD8726">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7270A9">
            <w:pPr>
              <w:widowControl/>
              <w:jc w:val="center"/>
              <w:textAlignment w:val="center"/>
              <w:rPr>
                <w:rFonts w:ascii="宋体" w:cs="宋体"/>
                <w:sz w:val="24"/>
              </w:rPr>
            </w:pPr>
            <w:r>
              <w:rPr>
                <w:rFonts w:hint="eastAsia" w:ascii="宋体" w:hAnsi="宋体" w:cs="宋体"/>
                <w:sz w:val="24"/>
              </w:rPr>
              <w:t>绩效指标完成情况</w:t>
            </w: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C13B5F">
            <w:pPr>
              <w:widowControl/>
              <w:jc w:val="center"/>
              <w:textAlignment w:val="center"/>
              <w:rPr>
                <w:rFonts w:ascii="宋体" w:cs="宋体"/>
                <w:sz w:val="24"/>
              </w:rPr>
            </w:pPr>
            <w:r>
              <w:rPr>
                <w:rFonts w:hint="eastAsia" w:ascii="宋体" w:hAnsi="宋体" w:cs="宋体"/>
                <w:kern w:val="0"/>
                <w:sz w:val="24"/>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695C33">
            <w:pPr>
              <w:widowControl/>
              <w:jc w:val="center"/>
              <w:textAlignment w:val="center"/>
              <w:rPr>
                <w:rFonts w:ascii="宋体" w:cs="宋体"/>
                <w:sz w:val="24"/>
              </w:rPr>
            </w:pPr>
            <w:r>
              <w:rPr>
                <w:rFonts w:hint="eastAsia" w:ascii="宋体" w:hAnsi="宋体" w:cs="宋体"/>
                <w:kern w:val="0"/>
                <w:sz w:val="24"/>
              </w:rPr>
              <w:t>二级指标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55FA6A">
            <w:pPr>
              <w:widowControl/>
              <w:jc w:val="center"/>
              <w:textAlignment w:val="center"/>
              <w:rPr>
                <w:rFonts w:ascii="宋体" w:cs="宋体"/>
                <w:sz w:val="24"/>
              </w:rPr>
            </w:pPr>
            <w:r>
              <w:rPr>
                <w:rFonts w:hint="eastAsia" w:ascii="宋体" w:hAnsi="宋体" w:cs="宋体"/>
                <w:kern w:val="0"/>
                <w:sz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8B04EC">
            <w:pPr>
              <w:widowControl/>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503183">
            <w:pPr>
              <w:widowControl/>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14:paraId="64F52AF5">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1C1E8F9">
            <w:pPr>
              <w:widowControl/>
              <w:jc w:val="left"/>
              <w:rPr>
                <w:rFonts w:ascii="宋体" w:cs="宋体"/>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5BCDA9">
            <w:pPr>
              <w:widowControl/>
              <w:jc w:val="center"/>
              <w:textAlignment w:val="center"/>
              <w:rPr>
                <w:rFonts w:ascii="宋体" w:cs="宋体"/>
                <w:sz w:val="24"/>
              </w:rPr>
            </w:pPr>
            <w:r>
              <w:rPr>
                <w:rFonts w:hint="eastAsia" w:ascii="宋体" w:hAnsi="宋体" w:cs="宋体"/>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E440FB">
            <w:pPr>
              <w:widowControl/>
              <w:jc w:val="center"/>
              <w:textAlignment w:val="center"/>
              <w:rPr>
                <w:rFonts w:ascii="宋体" w:cs="宋体"/>
                <w:sz w:val="24"/>
              </w:rPr>
            </w:pPr>
            <w:r>
              <w:rPr>
                <w:rFonts w:hint="eastAsia" w:ascii="宋体" w:cs="宋体"/>
                <w:sz w:val="24"/>
              </w:rPr>
              <w:t>数量指标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BB4D3C">
            <w:pPr>
              <w:widowControl/>
              <w:jc w:val="center"/>
              <w:textAlignment w:val="center"/>
              <w:rPr>
                <w:rFonts w:ascii="宋体" w:cs="宋体"/>
                <w:sz w:val="24"/>
              </w:rPr>
            </w:pPr>
            <w:r>
              <w:rPr>
                <w:rFonts w:hint="eastAsia" w:ascii="宋体" w:cs="宋体"/>
                <w:sz w:val="24"/>
              </w:rPr>
              <w:t>年度综合防治体系方案编制</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856B9E">
            <w:pPr>
              <w:widowControl/>
              <w:jc w:val="center"/>
              <w:textAlignment w:val="center"/>
              <w:rPr>
                <w:rFonts w:ascii="宋体" w:cs="宋体"/>
                <w:sz w:val="24"/>
              </w:rPr>
            </w:pPr>
            <w:r>
              <w:rPr>
                <w:rFonts w:hint="eastAsia" w:ascii="宋体" w:cs="宋体"/>
                <w:sz w:val="24"/>
              </w:rPr>
              <w:t>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112744">
            <w:pPr>
              <w:widowControl/>
              <w:jc w:val="center"/>
              <w:textAlignment w:val="center"/>
              <w:rPr>
                <w:rFonts w:ascii="宋体" w:cs="宋体"/>
                <w:sz w:val="24"/>
              </w:rPr>
            </w:pPr>
            <w:r>
              <w:rPr>
                <w:rFonts w:hint="eastAsia" w:ascii="宋体" w:cs="宋体"/>
                <w:sz w:val="24"/>
              </w:rPr>
              <w:t>3</w:t>
            </w:r>
          </w:p>
        </w:tc>
      </w:tr>
      <w:tr w14:paraId="268FB01E">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395832B">
            <w:pPr>
              <w:widowControl/>
              <w:jc w:val="left"/>
              <w:rPr>
                <w:rFonts w:ascii="宋体" w:cs="宋体"/>
                <w:sz w:val="24"/>
              </w:rPr>
            </w:pPr>
          </w:p>
        </w:tc>
        <w:tc>
          <w:tcPr>
            <w:tcW w:w="1367" w:type="dxa"/>
            <w:gridSpan w:val="2"/>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7377D56">
            <w:pPr>
              <w:widowControl/>
              <w:jc w:val="center"/>
              <w:textAlignment w:val="center"/>
              <w:rPr>
                <w:rFonts w:ascii="宋体" w:cs="宋体"/>
                <w:sz w:val="24"/>
              </w:rPr>
            </w:pPr>
            <w:r>
              <w:rPr>
                <w:rFonts w:hint="eastAsia" w:ascii="宋体" w:hAnsi="宋体" w:cs="宋体"/>
                <w:kern w:val="0"/>
                <w:sz w:val="24"/>
              </w:rPr>
              <w:t>项目完成指标</w:t>
            </w:r>
          </w:p>
        </w:tc>
        <w:tc>
          <w:tcPr>
            <w:tcW w:w="1025" w:type="dxa"/>
            <w:gridSpan w:val="2"/>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5C2FE519">
            <w:pPr>
              <w:widowControl/>
              <w:jc w:val="center"/>
              <w:textAlignment w:val="center"/>
              <w:rPr>
                <w:rFonts w:ascii="宋体" w:cs="宋体"/>
                <w:sz w:val="24"/>
              </w:rPr>
            </w:pPr>
            <w:r>
              <w:rPr>
                <w:rFonts w:hint="eastAsia" w:ascii="宋体" w:cs="宋体"/>
                <w:sz w:val="24"/>
              </w:rPr>
              <w:t>数量指标</w:t>
            </w:r>
          </w:p>
        </w:tc>
        <w:tc>
          <w:tcPr>
            <w:tcW w:w="2392" w:type="dxa"/>
            <w:gridSpan w:val="2"/>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4D125BB8">
            <w:pPr>
              <w:widowControl/>
              <w:jc w:val="center"/>
              <w:textAlignment w:val="center"/>
              <w:rPr>
                <w:rFonts w:ascii="宋体" w:cs="宋体"/>
                <w:sz w:val="24"/>
              </w:rPr>
            </w:pPr>
            <w:r>
              <w:rPr>
                <w:rFonts w:hint="eastAsia" w:ascii="宋体" w:cs="宋体"/>
                <w:sz w:val="24"/>
              </w:rPr>
              <w:t>地灾和地震宣传培训</w:t>
            </w:r>
          </w:p>
        </w:tc>
        <w:tc>
          <w:tcPr>
            <w:tcW w:w="2394" w:type="dxa"/>
            <w:gridSpan w:val="2"/>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2B337B9F">
            <w:pPr>
              <w:widowControl/>
              <w:jc w:val="center"/>
              <w:textAlignment w:val="center"/>
              <w:rPr>
                <w:rFonts w:ascii="宋体" w:cs="宋体"/>
                <w:sz w:val="24"/>
              </w:rPr>
            </w:pPr>
            <w:r>
              <w:rPr>
                <w:rFonts w:hint="eastAsia" w:ascii="宋体" w:cs="宋体"/>
                <w:sz w:val="24"/>
              </w:rPr>
              <w:t>1</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6CEAC6B9">
            <w:pPr>
              <w:widowControl/>
              <w:jc w:val="center"/>
              <w:textAlignment w:val="center"/>
              <w:rPr>
                <w:rFonts w:ascii="宋体" w:cs="宋体"/>
                <w:sz w:val="24"/>
              </w:rPr>
            </w:pPr>
            <w:r>
              <w:rPr>
                <w:rFonts w:hint="eastAsia" w:ascii="宋体" w:cs="宋体"/>
                <w:sz w:val="24"/>
              </w:rPr>
              <w:t>1</w:t>
            </w:r>
          </w:p>
        </w:tc>
      </w:tr>
      <w:tr w14:paraId="6A45CEB5">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auto" w:sz="4" w:space="0"/>
              <w:right w:val="single" w:color="auto" w:sz="4" w:space="0"/>
            </w:tcBorders>
            <w:vAlign w:val="center"/>
          </w:tcPr>
          <w:p w14:paraId="5A0B378B">
            <w:pPr>
              <w:widowControl/>
              <w:jc w:val="left"/>
              <w:rPr>
                <w:rFonts w:ascii="宋体" w:cs="宋体"/>
                <w:sz w:val="24"/>
              </w:rPr>
            </w:pPr>
          </w:p>
        </w:tc>
        <w:tc>
          <w:tcPr>
            <w:tcW w:w="13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46449F">
            <w:pPr>
              <w:widowControl/>
              <w:jc w:val="center"/>
              <w:textAlignment w:val="center"/>
              <w:rPr>
                <w:rFonts w:ascii="宋体" w:cs="宋体"/>
                <w:kern w:val="0"/>
                <w:sz w:val="24"/>
              </w:rPr>
            </w:pPr>
            <w:r>
              <w:rPr>
                <w:rFonts w:hint="eastAsia" w:ascii="宋体" w:hAnsi="宋体" w:cs="宋体"/>
                <w:kern w:val="0"/>
                <w:sz w:val="24"/>
              </w:rPr>
              <w:t>项目完成指标</w:t>
            </w:r>
          </w:p>
        </w:tc>
        <w:tc>
          <w:tcPr>
            <w:tcW w:w="102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58889E">
            <w:pPr>
              <w:widowControl/>
              <w:jc w:val="center"/>
              <w:textAlignment w:val="center"/>
              <w:rPr>
                <w:rFonts w:ascii="宋体" w:cs="宋体"/>
                <w:sz w:val="24"/>
              </w:rPr>
            </w:pPr>
            <w:r>
              <w:rPr>
                <w:rFonts w:hint="eastAsia" w:ascii="宋体" w:cs="宋体"/>
                <w:sz w:val="24"/>
              </w:rPr>
              <w:t>时效指标</w:t>
            </w:r>
          </w:p>
        </w:tc>
        <w:tc>
          <w:tcPr>
            <w:tcW w:w="239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AD8FF8">
            <w:pPr>
              <w:widowControl/>
              <w:jc w:val="center"/>
              <w:textAlignment w:val="center"/>
              <w:rPr>
                <w:rFonts w:ascii="宋体" w:cs="宋体"/>
                <w:sz w:val="24"/>
              </w:rPr>
            </w:pPr>
            <w:r>
              <w:rPr>
                <w:rFonts w:hint="eastAsia" w:ascii="宋体" w:cs="宋体"/>
                <w:sz w:val="24"/>
              </w:rPr>
              <w:t>项目按期完成率</w:t>
            </w:r>
          </w:p>
        </w:tc>
        <w:tc>
          <w:tcPr>
            <w:tcW w:w="239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ED87EF">
            <w:pPr>
              <w:widowControl/>
              <w:jc w:val="center"/>
              <w:textAlignment w:val="center"/>
              <w:rPr>
                <w:rFonts w:ascii="宋体" w:cs="宋体"/>
                <w:sz w:val="24"/>
              </w:rPr>
            </w:pPr>
            <w:r>
              <w:rPr>
                <w:rFonts w:hint="eastAsia" w:ascii="宋体" w:cs="宋体"/>
                <w:sz w:val="24"/>
              </w:rPr>
              <w:t>100%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CADEA9">
            <w:pPr>
              <w:widowControl/>
              <w:jc w:val="center"/>
              <w:textAlignment w:val="center"/>
              <w:rPr>
                <w:rFonts w:ascii="宋体" w:cs="宋体"/>
                <w:sz w:val="24"/>
              </w:rPr>
            </w:pPr>
            <w:r>
              <w:rPr>
                <w:rFonts w:hint="eastAsia" w:ascii="宋体" w:cs="宋体"/>
                <w:sz w:val="24"/>
              </w:rPr>
              <w:t>100%</w:t>
            </w:r>
          </w:p>
        </w:tc>
      </w:tr>
      <w:tr w14:paraId="0FC78422">
        <w:tblPrEx>
          <w:tblCellMar>
            <w:top w:w="0" w:type="dxa"/>
            <w:left w:w="0" w:type="dxa"/>
            <w:bottom w:w="0" w:type="dxa"/>
            <w:right w:w="0" w:type="dxa"/>
          </w:tblCellMar>
        </w:tblPrEx>
        <w:trPr>
          <w:trHeight w:val="1277" w:hRule="atLeast"/>
        </w:trPr>
        <w:tc>
          <w:tcPr>
            <w:tcW w:w="390" w:type="dxa"/>
            <w:vMerge w:val="continue"/>
            <w:tcBorders>
              <w:top w:val="single" w:color="auto" w:sz="4" w:space="0"/>
              <w:left w:val="single" w:color="auto" w:sz="4" w:space="0"/>
              <w:bottom w:val="single" w:color="auto" w:sz="4" w:space="0"/>
              <w:right w:val="single" w:color="auto" w:sz="4" w:space="0"/>
            </w:tcBorders>
            <w:vAlign w:val="center"/>
          </w:tcPr>
          <w:p w14:paraId="2746B87C">
            <w:pPr>
              <w:widowControl/>
              <w:jc w:val="left"/>
              <w:rPr>
                <w:rFonts w:ascii="宋体" w:cs="宋体"/>
                <w:sz w:val="24"/>
              </w:rPr>
            </w:pPr>
          </w:p>
        </w:tc>
        <w:tc>
          <w:tcPr>
            <w:tcW w:w="13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237064">
            <w:pPr>
              <w:widowControl/>
              <w:jc w:val="center"/>
              <w:textAlignment w:val="center"/>
              <w:rPr>
                <w:rFonts w:ascii="宋体" w:cs="宋体"/>
                <w:sz w:val="24"/>
              </w:rPr>
            </w:pPr>
            <w:r>
              <w:rPr>
                <w:rFonts w:hint="eastAsia" w:ascii="宋体" w:hAnsi="宋体" w:cs="宋体"/>
                <w:kern w:val="0"/>
                <w:sz w:val="24"/>
              </w:rPr>
              <w:t>项目完成指标</w:t>
            </w:r>
          </w:p>
        </w:tc>
        <w:tc>
          <w:tcPr>
            <w:tcW w:w="102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F44DE5">
            <w:pPr>
              <w:widowControl/>
              <w:jc w:val="center"/>
              <w:textAlignment w:val="center"/>
              <w:rPr>
                <w:rFonts w:ascii="宋体" w:cs="宋体"/>
                <w:sz w:val="24"/>
              </w:rPr>
            </w:pPr>
            <w:r>
              <w:rPr>
                <w:rFonts w:hint="eastAsia" w:ascii="宋体" w:cs="宋体"/>
                <w:sz w:val="24"/>
              </w:rPr>
              <w:t>成本指标</w:t>
            </w:r>
          </w:p>
        </w:tc>
        <w:tc>
          <w:tcPr>
            <w:tcW w:w="239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5E100C">
            <w:pPr>
              <w:widowControl/>
              <w:jc w:val="center"/>
              <w:textAlignment w:val="center"/>
              <w:rPr>
                <w:rFonts w:ascii="宋体" w:cs="宋体"/>
                <w:sz w:val="24"/>
              </w:rPr>
            </w:pPr>
            <w:r>
              <w:rPr>
                <w:rFonts w:hint="eastAsia" w:ascii="宋体" w:cs="宋体"/>
                <w:sz w:val="24"/>
              </w:rPr>
              <w:t>合作服务成本</w:t>
            </w:r>
          </w:p>
        </w:tc>
        <w:tc>
          <w:tcPr>
            <w:tcW w:w="239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1B5EDC">
            <w:pPr>
              <w:widowControl/>
              <w:jc w:val="center"/>
              <w:textAlignment w:val="center"/>
              <w:rPr>
                <w:rFonts w:ascii="宋体" w:cs="宋体"/>
                <w:sz w:val="24"/>
              </w:rPr>
            </w:pPr>
            <w:r>
              <w:rPr>
                <w:rFonts w:hint="eastAsia" w:ascii="宋体" w:cs="宋体"/>
                <w:sz w:val="24"/>
              </w:rPr>
              <w:t>不超过20万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DD9574">
            <w:pPr>
              <w:widowControl/>
              <w:jc w:val="center"/>
              <w:textAlignment w:val="center"/>
              <w:rPr>
                <w:rFonts w:ascii="宋体" w:cs="宋体"/>
                <w:sz w:val="24"/>
              </w:rPr>
            </w:pPr>
            <w:r>
              <w:rPr>
                <w:rFonts w:hint="eastAsia" w:ascii="宋体" w:cs="宋体"/>
                <w:sz w:val="24"/>
              </w:rPr>
              <w:t>20万</w:t>
            </w:r>
          </w:p>
        </w:tc>
      </w:tr>
      <w:tr w14:paraId="5E131B18">
        <w:tblPrEx>
          <w:tblCellMar>
            <w:top w:w="0" w:type="dxa"/>
            <w:left w:w="0" w:type="dxa"/>
            <w:bottom w:w="0" w:type="dxa"/>
            <w:right w:w="0" w:type="dxa"/>
          </w:tblCellMar>
        </w:tblPrEx>
        <w:trPr>
          <w:trHeight w:val="1277" w:hRule="atLeast"/>
        </w:trPr>
        <w:tc>
          <w:tcPr>
            <w:tcW w:w="390" w:type="dxa"/>
            <w:tcBorders>
              <w:top w:val="single" w:color="auto" w:sz="4" w:space="0"/>
              <w:left w:val="single" w:color="auto" w:sz="4" w:space="0"/>
              <w:bottom w:val="single" w:color="auto" w:sz="4" w:space="0"/>
              <w:right w:val="single" w:color="auto" w:sz="4" w:space="0"/>
            </w:tcBorders>
            <w:vAlign w:val="center"/>
          </w:tcPr>
          <w:p w14:paraId="236B0940">
            <w:pPr>
              <w:widowControl/>
              <w:jc w:val="left"/>
              <w:rPr>
                <w:rFonts w:ascii="宋体" w:cs="宋体"/>
                <w:sz w:val="24"/>
              </w:rPr>
            </w:pPr>
          </w:p>
        </w:tc>
        <w:tc>
          <w:tcPr>
            <w:tcW w:w="13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12EA98">
            <w:pPr>
              <w:widowControl/>
              <w:jc w:val="center"/>
              <w:textAlignment w:val="center"/>
              <w:rPr>
                <w:rFonts w:ascii="宋体" w:cs="宋体"/>
                <w:sz w:val="24"/>
              </w:rPr>
            </w:pPr>
            <w:r>
              <w:rPr>
                <w:rFonts w:hint="eastAsia" w:ascii="宋体" w:hAnsi="宋体" w:cs="宋体"/>
                <w:kern w:val="0"/>
                <w:sz w:val="24"/>
              </w:rPr>
              <w:t>效益指标</w:t>
            </w:r>
          </w:p>
        </w:tc>
        <w:tc>
          <w:tcPr>
            <w:tcW w:w="102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E0D7FE">
            <w:pPr>
              <w:widowControl/>
              <w:jc w:val="center"/>
              <w:textAlignment w:val="center"/>
              <w:rPr>
                <w:rFonts w:ascii="宋体" w:cs="宋体"/>
                <w:sz w:val="24"/>
              </w:rPr>
            </w:pPr>
            <w:r>
              <w:rPr>
                <w:rFonts w:hint="eastAsia" w:ascii="宋体" w:cs="宋体"/>
                <w:sz w:val="24"/>
              </w:rPr>
              <w:t>生态效益</w:t>
            </w:r>
          </w:p>
        </w:tc>
        <w:tc>
          <w:tcPr>
            <w:tcW w:w="239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90C5C0">
            <w:pPr>
              <w:widowControl/>
              <w:jc w:val="center"/>
              <w:textAlignment w:val="center"/>
              <w:rPr>
                <w:rFonts w:ascii="宋体" w:cs="宋体"/>
                <w:sz w:val="24"/>
              </w:rPr>
            </w:pPr>
            <w:r>
              <w:rPr>
                <w:rFonts w:hint="eastAsia" w:ascii="宋体" w:cs="宋体"/>
                <w:sz w:val="24"/>
              </w:rPr>
              <w:t>促进群众地灾防治意识</w:t>
            </w:r>
          </w:p>
        </w:tc>
        <w:tc>
          <w:tcPr>
            <w:tcW w:w="239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233503">
            <w:pPr>
              <w:widowControl/>
              <w:jc w:val="center"/>
              <w:textAlignment w:val="center"/>
              <w:rPr>
                <w:rFonts w:ascii="宋体" w:cs="宋体"/>
                <w:sz w:val="24"/>
              </w:rPr>
            </w:pPr>
            <w:r>
              <w:rPr>
                <w:rFonts w:hint="eastAsia" w:ascii="宋体" w:cs="宋体"/>
                <w:sz w:val="24"/>
              </w:rPr>
              <w:t>有效</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A43602">
            <w:pPr>
              <w:widowControl/>
              <w:jc w:val="center"/>
              <w:textAlignment w:val="center"/>
              <w:rPr>
                <w:rFonts w:ascii="宋体" w:cs="宋体"/>
                <w:sz w:val="24"/>
              </w:rPr>
            </w:pPr>
            <w:r>
              <w:rPr>
                <w:rFonts w:hint="eastAsia" w:ascii="宋体" w:cs="宋体"/>
                <w:sz w:val="24"/>
              </w:rPr>
              <w:t>有效</w:t>
            </w:r>
          </w:p>
        </w:tc>
      </w:tr>
      <w:tr w14:paraId="33672972">
        <w:tblPrEx>
          <w:tblCellMar>
            <w:top w:w="0" w:type="dxa"/>
            <w:left w:w="0" w:type="dxa"/>
            <w:bottom w:w="0" w:type="dxa"/>
            <w:right w:w="0" w:type="dxa"/>
          </w:tblCellMar>
        </w:tblPrEx>
        <w:trPr>
          <w:trHeight w:val="1277" w:hRule="atLeast"/>
        </w:trPr>
        <w:tc>
          <w:tcPr>
            <w:tcW w:w="390" w:type="dxa"/>
            <w:tcBorders>
              <w:top w:val="single" w:color="auto" w:sz="4" w:space="0"/>
              <w:left w:val="single" w:color="auto" w:sz="4" w:space="0"/>
              <w:bottom w:val="single" w:color="auto" w:sz="4" w:space="0"/>
              <w:right w:val="single" w:color="auto" w:sz="4" w:space="0"/>
            </w:tcBorders>
            <w:vAlign w:val="center"/>
          </w:tcPr>
          <w:p w14:paraId="0C93F1AA">
            <w:pPr>
              <w:widowControl/>
              <w:jc w:val="left"/>
              <w:rPr>
                <w:rFonts w:ascii="宋体" w:cs="宋体"/>
                <w:sz w:val="24"/>
              </w:rPr>
            </w:pPr>
          </w:p>
        </w:tc>
        <w:tc>
          <w:tcPr>
            <w:tcW w:w="13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AC3D75">
            <w:pPr>
              <w:widowControl/>
              <w:jc w:val="center"/>
              <w:textAlignment w:val="center"/>
              <w:rPr>
                <w:rFonts w:ascii="宋体" w:cs="宋体"/>
                <w:sz w:val="24"/>
              </w:rPr>
            </w:pPr>
            <w:r>
              <w:rPr>
                <w:rFonts w:hint="eastAsia" w:ascii="宋体" w:hAnsi="宋体" w:cs="宋体"/>
                <w:kern w:val="0"/>
                <w:sz w:val="24"/>
              </w:rPr>
              <w:t>满意度指标</w:t>
            </w:r>
          </w:p>
        </w:tc>
        <w:tc>
          <w:tcPr>
            <w:tcW w:w="102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9D2892">
            <w:pPr>
              <w:widowControl/>
              <w:jc w:val="center"/>
              <w:textAlignment w:val="center"/>
              <w:rPr>
                <w:rFonts w:ascii="宋体" w:cs="宋体"/>
                <w:sz w:val="24"/>
              </w:rPr>
            </w:pPr>
            <w:r>
              <w:rPr>
                <w:rFonts w:hint="eastAsia" w:ascii="宋体" w:hAnsi="宋体" w:cs="宋体"/>
                <w:kern w:val="0"/>
                <w:sz w:val="24"/>
              </w:rPr>
              <w:t>满意度指标</w:t>
            </w:r>
          </w:p>
        </w:tc>
        <w:tc>
          <w:tcPr>
            <w:tcW w:w="239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F2D23F">
            <w:pPr>
              <w:widowControl/>
              <w:jc w:val="center"/>
              <w:textAlignment w:val="center"/>
              <w:rPr>
                <w:rFonts w:ascii="宋体" w:cs="宋体"/>
                <w:sz w:val="24"/>
              </w:rPr>
            </w:pPr>
            <w:r>
              <w:rPr>
                <w:rFonts w:hint="eastAsia" w:ascii="宋体" w:cs="宋体"/>
                <w:sz w:val="24"/>
              </w:rPr>
              <w:t>服务对象满意度</w:t>
            </w:r>
          </w:p>
        </w:tc>
        <w:tc>
          <w:tcPr>
            <w:tcW w:w="239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3B576CC">
            <w:pPr>
              <w:widowControl/>
              <w:jc w:val="center"/>
              <w:textAlignment w:val="center"/>
              <w:rPr>
                <w:rFonts w:ascii="宋体" w:cs="宋体"/>
                <w:sz w:val="24"/>
              </w:rPr>
            </w:pPr>
            <w:r>
              <w:rPr>
                <w:rFonts w:hint="eastAsia" w:ascii="宋体" w:cs="宋体"/>
                <w:sz w:val="24"/>
              </w:rPr>
              <w:t>90%</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71527C">
            <w:pPr>
              <w:widowControl/>
              <w:jc w:val="center"/>
              <w:textAlignment w:val="center"/>
              <w:rPr>
                <w:rFonts w:ascii="宋体" w:cs="宋体"/>
                <w:sz w:val="24"/>
              </w:rPr>
            </w:pPr>
            <w:r>
              <w:rPr>
                <w:rFonts w:hint="eastAsia" w:ascii="宋体" w:cs="宋体"/>
                <w:sz w:val="24"/>
              </w:rPr>
              <w:t>90%</w:t>
            </w:r>
          </w:p>
        </w:tc>
      </w:tr>
      <w:tr w14:paraId="3AAD85C9">
        <w:tblPrEx>
          <w:tblCellMar>
            <w:top w:w="0" w:type="dxa"/>
            <w:left w:w="0" w:type="dxa"/>
            <w:bottom w:w="0" w:type="dxa"/>
            <w:right w:w="0" w:type="dxa"/>
          </w:tblCellMar>
        </w:tblPrEx>
        <w:trPr>
          <w:trHeight w:val="922" w:hRule="atLeast"/>
        </w:trPr>
        <w:tc>
          <w:tcPr>
            <w:tcW w:w="9960" w:type="dxa"/>
            <w:gridSpan w:val="10"/>
            <w:tcMar>
              <w:top w:w="15" w:type="dxa"/>
              <w:left w:w="15" w:type="dxa"/>
              <w:bottom w:w="0" w:type="dxa"/>
              <w:right w:w="15" w:type="dxa"/>
            </w:tcMar>
            <w:vAlign w:val="center"/>
          </w:tcPr>
          <w:p w14:paraId="13B8543A">
            <w:pPr>
              <w:pStyle w:val="27"/>
              <w:widowControl/>
              <w:ind w:left="4173" w:leftChars="1310" w:hanging="1422" w:hangingChars="395"/>
              <w:textAlignment w:val="center"/>
              <w:rPr>
                <w:rFonts w:ascii="黑体" w:hAnsi="黑体" w:eastAsia="黑体" w:cs="宋体"/>
                <w:bCs/>
                <w:kern w:val="0"/>
                <w:sz w:val="36"/>
                <w:szCs w:val="36"/>
              </w:rPr>
            </w:pPr>
          </w:p>
          <w:p w14:paraId="3C148C3B">
            <w:pPr>
              <w:pStyle w:val="27"/>
              <w:widowControl/>
              <w:ind w:left="4173" w:leftChars="1310" w:hanging="1422" w:hangingChars="395"/>
              <w:textAlignment w:val="center"/>
              <w:rPr>
                <w:rFonts w:ascii="黑体" w:hAnsi="黑体" w:eastAsia="黑体" w:cs="宋体"/>
                <w:bCs/>
                <w:kern w:val="0"/>
                <w:sz w:val="36"/>
                <w:szCs w:val="36"/>
              </w:rPr>
            </w:pPr>
          </w:p>
          <w:p w14:paraId="14026E46">
            <w:pPr>
              <w:pStyle w:val="27"/>
              <w:widowControl/>
              <w:ind w:left="4173" w:leftChars="1310" w:hanging="1422" w:hangingChars="395"/>
              <w:textAlignment w:val="center"/>
              <w:rPr>
                <w:rFonts w:ascii="宋体" w:cs="宋体"/>
                <w:sz w:val="36"/>
                <w:szCs w:val="36"/>
              </w:rPr>
            </w:pPr>
            <w:r>
              <w:rPr>
                <w:rFonts w:hint="eastAsia" w:ascii="黑体" w:hAnsi="黑体" w:eastAsia="黑体" w:cs="宋体"/>
                <w:bCs/>
                <w:kern w:val="0"/>
                <w:sz w:val="36"/>
                <w:szCs w:val="36"/>
              </w:rPr>
              <w:t>项目支出绩效目标完成情况表</w:t>
            </w:r>
            <w:r>
              <w:rPr>
                <w:rFonts w:ascii="宋体" w:cs="宋体"/>
                <w:b/>
                <w:bCs/>
                <w:kern w:val="0"/>
                <w:sz w:val="36"/>
                <w:szCs w:val="36"/>
              </w:rPr>
              <w:br w:type="textWrapping"/>
            </w:r>
            <w:r>
              <w:rPr>
                <w:rFonts w:hint="eastAsia" w:ascii="宋体" w:cs="宋体"/>
                <w:sz w:val="24"/>
              </w:rPr>
              <w:t>(2018 年度)</w:t>
            </w:r>
          </w:p>
        </w:tc>
      </w:tr>
      <w:tr w14:paraId="1BF1264E">
        <w:tblPrEx>
          <w:tblCellMar>
            <w:top w:w="0" w:type="dxa"/>
            <w:left w:w="0" w:type="dxa"/>
            <w:bottom w:w="0" w:type="dxa"/>
            <w:right w:w="0" w:type="dxa"/>
          </w:tblCellMar>
        </w:tblPrEx>
        <w:trPr>
          <w:trHeight w:val="276" w:hRule="atLeast"/>
        </w:trPr>
        <w:tc>
          <w:tcPr>
            <w:tcW w:w="3420"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DE491F">
            <w:pPr>
              <w:widowControl/>
              <w:jc w:val="center"/>
              <w:textAlignment w:val="center"/>
              <w:rPr>
                <w:rFonts w:ascii="宋体" w:cs="宋体"/>
                <w:sz w:val="24"/>
              </w:rPr>
            </w:pPr>
            <w:r>
              <w:rPr>
                <w:rFonts w:hint="eastAsia" w:ascii="宋体" w:hAnsi="宋体" w:cs="宋体"/>
                <w:kern w:val="0"/>
                <w:sz w:val="24"/>
              </w:rPr>
              <w:t>项目名称</w:t>
            </w:r>
          </w:p>
        </w:tc>
        <w:tc>
          <w:tcPr>
            <w:tcW w:w="654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17A9FC">
            <w:pPr>
              <w:widowControl/>
              <w:textAlignment w:val="center"/>
              <w:rPr>
                <w:rFonts w:ascii="宋体" w:cs="宋体"/>
                <w:sz w:val="24"/>
              </w:rPr>
            </w:pPr>
            <w:r>
              <w:rPr>
                <w:rFonts w:hint="eastAsia" w:ascii="宋体" w:cs="宋体"/>
                <w:sz w:val="24"/>
              </w:rPr>
              <w:t>土地储备专项工作经费</w:t>
            </w:r>
          </w:p>
        </w:tc>
      </w:tr>
      <w:tr w14:paraId="05C90E23">
        <w:tblPrEx>
          <w:tblCellMar>
            <w:top w:w="0" w:type="dxa"/>
            <w:left w:w="0" w:type="dxa"/>
            <w:bottom w:w="0" w:type="dxa"/>
            <w:right w:w="0" w:type="dxa"/>
          </w:tblCellMar>
        </w:tblPrEx>
        <w:trPr>
          <w:trHeight w:val="276" w:hRule="atLeast"/>
        </w:trPr>
        <w:tc>
          <w:tcPr>
            <w:tcW w:w="3420"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E6C356">
            <w:pPr>
              <w:widowControl/>
              <w:jc w:val="center"/>
              <w:textAlignment w:val="center"/>
              <w:rPr>
                <w:rFonts w:ascii="宋体" w:cs="宋体"/>
                <w:sz w:val="24"/>
              </w:rPr>
            </w:pPr>
            <w:r>
              <w:rPr>
                <w:rFonts w:hint="eastAsia" w:ascii="宋体" w:hAnsi="宋体" w:cs="宋体"/>
                <w:kern w:val="0"/>
                <w:sz w:val="24"/>
              </w:rPr>
              <w:t>预算单位</w:t>
            </w:r>
          </w:p>
        </w:tc>
        <w:tc>
          <w:tcPr>
            <w:tcW w:w="654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A425B7">
            <w:pPr>
              <w:widowControl/>
              <w:textAlignment w:val="center"/>
              <w:rPr>
                <w:rFonts w:ascii="宋体" w:cs="宋体"/>
                <w:sz w:val="24"/>
              </w:rPr>
            </w:pPr>
            <w:r>
              <w:rPr>
                <w:rFonts w:hint="eastAsia" w:ascii="宋体" w:cs="宋体"/>
                <w:sz w:val="24"/>
              </w:rPr>
              <w:t>遂宁市土地储备中心</w:t>
            </w:r>
          </w:p>
        </w:tc>
      </w:tr>
      <w:tr w14:paraId="05110419">
        <w:tblPrEx>
          <w:tblCellMar>
            <w:top w:w="0" w:type="dxa"/>
            <w:left w:w="0" w:type="dxa"/>
            <w:bottom w:w="0" w:type="dxa"/>
            <w:right w:w="0" w:type="dxa"/>
          </w:tblCellMar>
        </w:tblPrEx>
        <w:trPr>
          <w:trHeight w:val="276" w:hRule="atLeast"/>
        </w:trPr>
        <w:tc>
          <w:tcPr>
            <w:tcW w:w="10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9B45B6">
            <w:pPr>
              <w:widowControl/>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237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12BA88">
            <w:pPr>
              <w:widowControl/>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77A61C">
            <w:pPr>
              <w:widowControl/>
              <w:jc w:val="center"/>
              <w:textAlignment w:val="center"/>
              <w:rPr>
                <w:rFonts w:ascii="宋体" w:cs="宋体"/>
                <w:sz w:val="24"/>
              </w:rPr>
            </w:pPr>
            <w:r>
              <w:rPr>
                <w:rFonts w:hint="eastAsia" w:ascii="宋体" w:cs="宋体"/>
                <w:sz w:val="24"/>
              </w:rPr>
              <w:t>40.01</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690F6B">
            <w:pPr>
              <w:widowControl/>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C0E578">
            <w:pPr>
              <w:widowControl/>
              <w:jc w:val="center"/>
              <w:textAlignment w:val="center"/>
              <w:rPr>
                <w:rFonts w:ascii="宋体" w:cs="宋体"/>
                <w:sz w:val="24"/>
              </w:rPr>
            </w:pPr>
            <w:r>
              <w:rPr>
                <w:rFonts w:hint="eastAsia" w:ascii="宋体" w:cs="宋体"/>
                <w:sz w:val="24"/>
              </w:rPr>
              <w:t>14.29</w:t>
            </w:r>
          </w:p>
        </w:tc>
      </w:tr>
      <w:tr w14:paraId="59F8096C">
        <w:tblPrEx>
          <w:tblCellMar>
            <w:top w:w="0" w:type="dxa"/>
            <w:left w:w="0" w:type="dxa"/>
            <w:bottom w:w="0" w:type="dxa"/>
            <w:right w:w="0" w:type="dxa"/>
          </w:tblCellMar>
        </w:tblPrEx>
        <w:trPr>
          <w:trHeight w:val="276"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A37C561">
            <w:pPr>
              <w:widowControl/>
              <w:jc w:val="left"/>
              <w:rPr>
                <w:rFonts w:ascii="宋体" w:cs="宋体"/>
                <w:sz w:val="24"/>
              </w:rPr>
            </w:pPr>
          </w:p>
        </w:tc>
        <w:tc>
          <w:tcPr>
            <w:tcW w:w="237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573CE9">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4BF2BB">
            <w:pPr>
              <w:widowControl/>
              <w:jc w:val="center"/>
              <w:textAlignment w:val="center"/>
              <w:rPr>
                <w:rFonts w:ascii="宋体" w:cs="宋体"/>
                <w:sz w:val="24"/>
              </w:rPr>
            </w:pPr>
            <w:r>
              <w:rPr>
                <w:rFonts w:hint="eastAsia" w:ascii="宋体" w:cs="宋体"/>
                <w:sz w:val="24"/>
              </w:rPr>
              <w:t>40.01</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DDCF6D">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A07E8B">
            <w:pPr>
              <w:widowControl/>
              <w:jc w:val="center"/>
              <w:textAlignment w:val="center"/>
              <w:rPr>
                <w:rFonts w:ascii="宋体" w:cs="宋体"/>
                <w:sz w:val="24"/>
              </w:rPr>
            </w:pPr>
            <w:r>
              <w:rPr>
                <w:rFonts w:hint="eastAsia" w:ascii="宋体" w:cs="宋体"/>
                <w:sz w:val="24"/>
              </w:rPr>
              <w:t>14.29</w:t>
            </w:r>
          </w:p>
        </w:tc>
      </w:tr>
      <w:tr w14:paraId="0CA548AE">
        <w:tblPrEx>
          <w:tblCellMar>
            <w:top w:w="0" w:type="dxa"/>
            <w:left w:w="0" w:type="dxa"/>
            <w:bottom w:w="0" w:type="dxa"/>
            <w:right w:w="0" w:type="dxa"/>
          </w:tblCellMar>
        </w:tblPrEx>
        <w:trPr>
          <w:trHeight w:val="90"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39EEB2E">
            <w:pPr>
              <w:widowControl/>
              <w:jc w:val="left"/>
              <w:rPr>
                <w:rFonts w:ascii="宋体" w:cs="宋体"/>
                <w:sz w:val="24"/>
              </w:rPr>
            </w:pPr>
          </w:p>
        </w:tc>
        <w:tc>
          <w:tcPr>
            <w:tcW w:w="237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E61C92">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9D12A2">
            <w:pPr>
              <w:widowControl/>
              <w:jc w:val="center"/>
              <w:textAlignment w:val="center"/>
              <w:rPr>
                <w:rFonts w:ascii="宋体" w:cs="宋体"/>
                <w:sz w:val="24"/>
              </w:rPr>
            </w:pPr>
            <w:r>
              <w:rPr>
                <w:rFonts w:ascii="宋体" w:cs="宋体"/>
                <w:kern w:val="0"/>
                <w:sz w:val="24"/>
              </w:rPr>
              <w:t>0</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5710CC">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1BF974">
            <w:pPr>
              <w:jc w:val="center"/>
              <w:rPr>
                <w:rFonts w:ascii="宋体" w:cs="宋体"/>
                <w:sz w:val="24"/>
              </w:rPr>
            </w:pPr>
          </w:p>
        </w:tc>
      </w:tr>
      <w:tr w14:paraId="44C0B0DA">
        <w:tblPrEx>
          <w:tblCellMar>
            <w:top w:w="0" w:type="dxa"/>
            <w:left w:w="0" w:type="dxa"/>
            <w:bottom w:w="0" w:type="dxa"/>
            <w:right w:w="0" w:type="dxa"/>
          </w:tblCellMar>
        </w:tblPrEx>
        <w:trPr>
          <w:trHeight w:val="276" w:hRule="atLeast"/>
        </w:trPr>
        <w:tc>
          <w:tcPr>
            <w:tcW w:w="10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C4710B">
            <w:pPr>
              <w:widowControl/>
              <w:jc w:val="center"/>
              <w:textAlignment w:val="center"/>
              <w:rPr>
                <w:rFonts w:ascii="宋体" w:cs="宋体"/>
                <w:sz w:val="24"/>
              </w:rPr>
            </w:pPr>
            <w:r>
              <w:rPr>
                <w:rFonts w:hint="eastAsia" w:ascii="宋体" w:hAnsi="宋体" w:cs="宋体"/>
                <w:kern w:val="0"/>
                <w:sz w:val="24"/>
              </w:rPr>
              <w:t>年度目标完成情况</w:t>
            </w:r>
          </w:p>
        </w:tc>
        <w:tc>
          <w:tcPr>
            <w:tcW w:w="452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A8E351">
            <w:pPr>
              <w:widowControl/>
              <w:jc w:val="center"/>
              <w:textAlignment w:val="center"/>
              <w:rPr>
                <w:rFonts w:ascii="宋体" w:cs="宋体"/>
                <w:sz w:val="24"/>
              </w:rPr>
            </w:pPr>
            <w:r>
              <w:rPr>
                <w:rFonts w:hint="eastAsia" w:ascii="宋体" w:hAnsi="宋体" w:cs="宋体"/>
                <w:kern w:val="0"/>
                <w:sz w:val="24"/>
              </w:rPr>
              <w:t>预期目标</w:t>
            </w:r>
          </w:p>
        </w:tc>
        <w:tc>
          <w:tcPr>
            <w:tcW w:w="43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72CFC3">
            <w:pPr>
              <w:widowControl/>
              <w:jc w:val="center"/>
              <w:textAlignment w:val="center"/>
              <w:rPr>
                <w:rFonts w:ascii="宋体" w:cs="宋体"/>
                <w:sz w:val="24"/>
              </w:rPr>
            </w:pPr>
            <w:r>
              <w:rPr>
                <w:rFonts w:hint="eastAsia" w:ascii="宋体" w:hAnsi="宋体" w:cs="宋体"/>
                <w:kern w:val="0"/>
                <w:sz w:val="24"/>
              </w:rPr>
              <w:t>实际完成目标</w:t>
            </w:r>
          </w:p>
        </w:tc>
      </w:tr>
      <w:tr w14:paraId="2D7B008C">
        <w:tblPrEx>
          <w:tblCellMar>
            <w:top w:w="0" w:type="dxa"/>
            <w:left w:w="0" w:type="dxa"/>
            <w:bottom w:w="0" w:type="dxa"/>
            <w:right w:w="0" w:type="dxa"/>
          </w:tblCellMar>
        </w:tblPrEx>
        <w:trPr>
          <w:trHeight w:val="388"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A82631">
            <w:pPr>
              <w:widowControl/>
              <w:jc w:val="left"/>
              <w:rPr>
                <w:rFonts w:ascii="宋体" w:cs="宋体"/>
                <w:sz w:val="24"/>
              </w:rPr>
            </w:pPr>
          </w:p>
        </w:tc>
        <w:tc>
          <w:tcPr>
            <w:tcW w:w="452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D3EC67">
            <w:pPr>
              <w:widowControl/>
              <w:jc w:val="center"/>
              <w:textAlignment w:val="center"/>
              <w:rPr>
                <w:rFonts w:ascii="宋体" w:cs="宋体"/>
                <w:sz w:val="24"/>
              </w:rPr>
            </w:pPr>
            <w:r>
              <w:rPr>
                <w:rFonts w:hint="eastAsia" w:ascii="宋体" w:cs="宋体"/>
                <w:sz w:val="24"/>
              </w:rPr>
              <w:t>完成2018年土地收储目标</w:t>
            </w:r>
          </w:p>
        </w:tc>
        <w:tc>
          <w:tcPr>
            <w:tcW w:w="43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268B84">
            <w:pPr>
              <w:widowControl/>
              <w:jc w:val="center"/>
              <w:textAlignment w:val="center"/>
              <w:rPr>
                <w:rFonts w:ascii="宋体" w:cs="宋体"/>
                <w:sz w:val="24"/>
              </w:rPr>
            </w:pPr>
            <w:r>
              <w:rPr>
                <w:rFonts w:hint="eastAsia" w:ascii="宋体" w:cs="宋体"/>
                <w:sz w:val="24"/>
              </w:rPr>
              <w:t>已完成</w:t>
            </w:r>
          </w:p>
        </w:tc>
      </w:tr>
      <w:tr w14:paraId="691ED985">
        <w:tblPrEx>
          <w:tblCellMar>
            <w:top w:w="0" w:type="dxa"/>
            <w:left w:w="0" w:type="dxa"/>
            <w:bottom w:w="0" w:type="dxa"/>
            <w:right w:w="0" w:type="dxa"/>
          </w:tblCellMar>
        </w:tblPrEx>
        <w:trPr>
          <w:trHeight w:val="559" w:hRule="atLeast"/>
        </w:trPr>
        <w:tc>
          <w:tcPr>
            <w:tcW w:w="10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CA0752">
            <w:pPr>
              <w:widowControl/>
              <w:jc w:val="center"/>
              <w:textAlignment w:val="center"/>
              <w:rPr>
                <w:rFonts w:ascii="宋体" w:cs="宋体"/>
                <w:sz w:val="24"/>
              </w:rPr>
            </w:pPr>
            <w:r>
              <w:rPr>
                <w:rFonts w:hint="eastAsia" w:ascii="宋体" w:hAnsi="宋体" w:cs="宋体"/>
                <w:sz w:val="24"/>
              </w:rPr>
              <w:t>绩效指标完成情况</w:t>
            </w: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D31AA7">
            <w:pPr>
              <w:widowControl/>
              <w:jc w:val="center"/>
              <w:textAlignment w:val="center"/>
              <w:rPr>
                <w:rFonts w:ascii="宋体" w:cs="宋体"/>
                <w:sz w:val="24"/>
              </w:rPr>
            </w:pPr>
            <w:r>
              <w:rPr>
                <w:rFonts w:hint="eastAsia" w:ascii="宋体" w:hAnsi="宋体" w:cs="宋体"/>
                <w:kern w:val="0"/>
                <w:sz w:val="24"/>
              </w:rPr>
              <w:t>一级指标</w:t>
            </w: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A88984">
            <w:pPr>
              <w:widowControl/>
              <w:jc w:val="center"/>
              <w:textAlignment w:val="center"/>
              <w:rPr>
                <w:rFonts w:ascii="宋体" w:cs="宋体"/>
                <w:sz w:val="24"/>
              </w:rPr>
            </w:pPr>
            <w:r>
              <w:rPr>
                <w:rFonts w:hint="eastAsia" w:ascii="宋体" w:hAnsi="宋体" w:cs="宋体"/>
                <w:kern w:val="0"/>
                <w:sz w:val="24"/>
              </w:rPr>
              <w:t>二级指标</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BD8986">
            <w:pPr>
              <w:widowControl/>
              <w:jc w:val="center"/>
              <w:textAlignment w:val="center"/>
              <w:rPr>
                <w:rFonts w:ascii="宋体" w:cs="宋体"/>
                <w:sz w:val="24"/>
              </w:rPr>
            </w:pPr>
            <w:r>
              <w:rPr>
                <w:rFonts w:hint="eastAsia" w:ascii="宋体" w:hAnsi="宋体" w:cs="宋体"/>
                <w:kern w:val="0"/>
                <w:sz w:val="24"/>
              </w:rPr>
              <w:t>三级指标</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68EEA4">
            <w:pPr>
              <w:widowControl/>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3C4326">
            <w:pPr>
              <w:widowControl/>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14:paraId="78234769">
        <w:tblPrEx>
          <w:tblCellMar>
            <w:top w:w="0" w:type="dxa"/>
            <w:left w:w="0" w:type="dxa"/>
            <w:bottom w:w="0" w:type="dxa"/>
            <w:right w:w="0" w:type="dxa"/>
          </w:tblCellMar>
        </w:tblPrEx>
        <w:trPr>
          <w:trHeight w:val="663"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B8A2466">
            <w:pPr>
              <w:widowControl/>
              <w:jc w:val="left"/>
              <w:rPr>
                <w:rFonts w:ascii="宋体" w:cs="宋体"/>
                <w:sz w:val="24"/>
              </w:rPr>
            </w:pP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ADCB2C">
            <w:pPr>
              <w:widowControl/>
              <w:jc w:val="center"/>
              <w:textAlignment w:val="center"/>
              <w:rPr>
                <w:rFonts w:ascii="宋体" w:cs="宋体"/>
                <w:sz w:val="24"/>
              </w:rPr>
            </w:pPr>
            <w:r>
              <w:rPr>
                <w:rFonts w:hint="eastAsia" w:ascii="宋体" w:hAnsi="宋体" w:cs="宋体"/>
                <w:kern w:val="0"/>
                <w:sz w:val="24"/>
              </w:rPr>
              <w:t>项目完成指标</w:t>
            </w: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D59910">
            <w:pPr>
              <w:widowControl/>
              <w:jc w:val="center"/>
              <w:textAlignment w:val="center"/>
              <w:rPr>
                <w:rFonts w:ascii="宋体" w:cs="宋体"/>
                <w:sz w:val="24"/>
              </w:rPr>
            </w:pPr>
            <w:r>
              <w:rPr>
                <w:rFonts w:hint="eastAsia" w:ascii="宋体" w:cs="宋体"/>
                <w:sz w:val="24"/>
              </w:rPr>
              <w:t>数量指标</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023F2E">
            <w:pPr>
              <w:widowControl/>
              <w:jc w:val="center"/>
              <w:textAlignment w:val="center"/>
              <w:rPr>
                <w:rFonts w:ascii="宋体" w:cs="宋体"/>
                <w:sz w:val="24"/>
              </w:rPr>
            </w:pPr>
            <w:r>
              <w:rPr>
                <w:rFonts w:hint="eastAsia" w:ascii="宋体" w:cs="宋体"/>
                <w:sz w:val="24"/>
              </w:rPr>
              <w:t>土地储备工作经费（万元）</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119AA1">
            <w:pPr>
              <w:widowControl/>
              <w:jc w:val="center"/>
              <w:textAlignment w:val="center"/>
              <w:rPr>
                <w:rFonts w:ascii="宋体" w:cs="宋体"/>
                <w:sz w:val="24"/>
              </w:rPr>
            </w:pPr>
            <w:r>
              <w:rPr>
                <w:rFonts w:hint="eastAsia" w:ascii="宋体" w:cs="宋体"/>
                <w:sz w:val="24"/>
              </w:rPr>
              <w:t>40.01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244FF9">
            <w:pPr>
              <w:widowControl/>
              <w:jc w:val="center"/>
              <w:textAlignment w:val="center"/>
              <w:rPr>
                <w:rFonts w:ascii="宋体" w:cs="宋体"/>
                <w:sz w:val="24"/>
              </w:rPr>
            </w:pPr>
            <w:r>
              <w:rPr>
                <w:rFonts w:hint="eastAsia" w:ascii="宋体" w:cs="宋体"/>
                <w:sz w:val="24"/>
              </w:rPr>
              <w:t>14.29</w:t>
            </w:r>
          </w:p>
        </w:tc>
      </w:tr>
      <w:tr w14:paraId="3DF71247">
        <w:tblPrEx>
          <w:tblCellMar>
            <w:top w:w="0" w:type="dxa"/>
            <w:left w:w="0" w:type="dxa"/>
            <w:bottom w:w="0" w:type="dxa"/>
            <w:right w:w="0" w:type="dxa"/>
          </w:tblCellMar>
        </w:tblPrEx>
        <w:trPr>
          <w:trHeight w:val="666"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7220A6">
            <w:pPr>
              <w:widowControl/>
              <w:jc w:val="left"/>
              <w:rPr>
                <w:rFonts w:ascii="宋体" w:cs="宋体"/>
                <w:sz w:val="24"/>
              </w:rPr>
            </w:pP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89640D">
            <w:pPr>
              <w:widowControl/>
              <w:jc w:val="center"/>
              <w:textAlignment w:val="center"/>
              <w:rPr>
                <w:rFonts w:ascii="宋体" w:cs="宋体"/>
                <w:sz w:val="24"/>
              </w:rPr>
            </w:pPr>
            <w:r>
              <w:rPr>
                <w:rFonts w:hint="eastAsia" w:ascii="宋体" w:hAnsi="宋体" w:cs="宋体"/>
                <w:kern w:val="0"/>
                <w:sz w:val="24"/>
              </w:rPr>
              <w:t>项目完成指标</w:t>
            </w: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F11AAD">
            <w:pPr>
              <w:widowControl/>
              <w:jc w:val="center"/>
              <w:textAlignment w:val="center"/>
              <w:rPr>
                <w:rFonts w:ascii="宋体" w:cs="宋体"/>
                <w:sz w:val="24"/>
              </w:rPr>
            </w:pPr>
            <w:r>
              <w:rPr>
                <w:rFonts w:hint="eastAsia" w:ascii="宋体" w:cs="宋体"/>
                <w:sz w:val="24"/>
              </w:rPr>
              <w:t>质量指标</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D4CCCB">
            <w:pPr>
              <w:widowControl/>
              <w:jc w:val="center"/>
              <w:textAlignment w:val="center"/>
              <w:rPr>
                <w:rFonts w:ascii="宋体" w:cs="宋体"/>
                <w:sz w:val="24"/>
              </w:rPr>
            </w:pPr>
            <w:r>
              <w:rPr>
                <w:rFonts w:hint="eastAsia" w:ascii="宋体" w:cs="宋体"/>
                <w:sz w:val="24"/>
              </w:rPr>
              <w:t>2018年土地收储目标</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7FC066">
            <w:pPr>
              <w:widowControl/>
              <w:jc w:val="center"/>
              <w:textAlignment w:val="center"/>
              <w:rPr>
                <w:rFonts w:ascii="宋体" w:cs="宋体"/>
                <w:sz w:val="24"/>
              </w:rPr>
            </w:pPr>
            <w:r>
              <w:rPr>
                <w:rFonts w:hint="eastAsia" w:ascii="宋体" w:cs="宋体"/>
                <w:sz w:val="24"/>
              </w:rPr>
              <w:t>已完成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5CB238">
            <w:pPr>
              <w:widowControl/>
              <w:jc w:val="center"/>
              <w:textAlignment w:val="center"/>
              <w:rPr>
                <w:rFonts w:ascii="宋体" w:cs="宋体"/>
                <w:sz w:val="24"/>
              </w:rPr>
            </w:pPr>
            <w:r>
              <w:rPr>
                <w:rFonts w:hint="eastAsia" w:ascii="宋体" w:cs="宋体"/>
                <w:sz w:val="24"/>
              </w:rPr>
              <w:t>已完成</w:t>
            </w:r>
          </w:p>
        </w:tc>
      </w:tr>
      <w:tr w14:paraId="3132DF90">
        <w:tblPrEx>
          <w:tblCellMar>
            <w:top w:w="0" w:type="dxa"/>
            <w:left w:w="0" w:type="dxa"/>
            <w:bottom w:w="0" w:type="dxa"/>
            <w:right w:w="0" w:type="dxa"/>
          </w:tblCellMar>
        </w:tblPrEx>
        <w:trPr>
          <w:trHeight w:val="698"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30116AE">
            <w:pPr>
              <w:widowControl/>
              <w:jc w:val="left"/>
              <w:rPr>
                <w:rFonts w:ascii="宋体" w:cs="宋体"/>
                <w:sz w:val="24"/>
              </w:rPr>
            </w:pP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714E8E">
            <w:pPr>
              <w:widowControl/>
              <w:jc w:val="center"/>
              <w:textAlignment w:val="center"/>
              <w:rPr>
                <w:rFonts w:ascii="宋体" w:cs="宋体"/>
                <w:sz w:val="24"/>
              </w:rPr>
            </w:pPr>
            <w:r>
              <w:rPr>
                <w:rFonts w:hint="eastAsia" w:ascii="宋体" w:hAnsi="宋体" w:cs="宋体"/>
                <w:kern w:val="0"/>
                <w:sz w:val="24"/>
              </w:rPr>
              <w:t>效益指标</w:t>
            </w: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0F1FE2">
            <w:pPr>
              <w:widowControl/>
              <w:textAlignment w:val="center"/>
              <w:rPr>
                <w:rFonts w:ascii="宋体" w:cs="宋体"/>
                <w:sz w:val="24"/>
              </w:rPr>
            </w:pPr>
            <w:r>
              <w:rPr>
                <w:rFonts w:hint="eastAsia" w:ascii="宋体" w:cs="宋体"/>
                <w:sz w:val="24"/>
              </w:rPr>
              <w:t>社会效益</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25E2EB">
            <w:pPr>
              <w:widowControl/>
              <w:jc w:val="center"/>
              <w:textAlignment w:val="center"/>
              <w:rPr>
                <w:rFonts w:ascii="宋体" w:cs="宋体"/>
                <w:sz w:val="24"/>
              </w:rPr>
            </w:pPr>
            <w:r>
              <w:rPr>
                <w:rFonts w:hint="eastAsia" w:ascii="宋体" w:cs="宋体"/>
                <w:sz w:val="24"/>
              </w:rPr>
              <w:t>对国民经济和社会发展的促进作用</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A39A84">
            <w:pPr>
              <w:widowControl/>
              <w:jc w:val="center"/>
              <w:textAlignment w:val="center"/>
              <w:rPr>
                <w:rFonts w:ascii="宋体" w:cs="宋体"/>
                <w:sz w:val="24"/>
              </w:rPr>
            </w:pPr>
            <w:r>
              <w:rPr>
                <w:rFonts w:hint="eastAsia" w:ascii="宋体" w:cs="宋体"/>
                <w:sz w:val="24"/>
              </w:rPr>
              <w:t>满足国民经济和社会发展的需要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CF2D5B">
            <w:pPr>
              <w:widowControl/>
              <w:jc w:val="center"/>
              <w:textAlignment w:val="center"/>
              <w:rPr>
                <w:rFonts w:ascii="宋体" w:cs="宋体"/>
                <w:sz w:val="24"/>
              </w:rPr>
            </w:pPr>
            <w:r>
              <w:rPr>
                <w:rFonts w:hint="eastAsia" w:ascii="宋体" w:cs="宋体"/>
                <w:sz w:val="24"/>
              </w:rPr>
              <w:t>满足国民经济和社会发展的需要</w:t>
            </w:r>
          </w:p>
        </w:tc>
      </w:tr>
      <w:tr w14:paraId="63069E98">
        <w:tblPrEx>
          <w:tblCellMar>
            <w:top w:w="0" w:type="dxa"/>
            <w:left w:w="0" w:type="dxa"/>
            <w:bottom w:w="0" w:type="dxa"/>
            <w:right w:w="0" w:type="dxa"/>
          </w:tblCellMar>
        </w:tblPrEx>
        <w:trPr>
          <w:trHeight w:val="576"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AA0FC4">
            <w:pPr>
              <w:widowControl/>
              <w:jc w:val="left"/>
              <w:rPr>
                <w:rFonts w:ascii="宋体" w:cs="宋体"/>
                <w:sz w:val="24"/>
              </w:rPr>
            </w:pP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5C531B">
            <w:pPr>
              <w:widowControl/>
              <w:jc w:val="center"/>
              <w:textAlignment w:val="center"/>
              <w:rPr>
                <w:rFonts w:ascii="宋体" w:cs="宋体"/>
                <w:kern w:val="0"/>
                <w:sz w:val="24"/>
              </w:rPr>
            </w:pPr>
            <w:r>
              <w:rPr>
                <w:rFonts w:hint="eastAsia" w:ascii="宋体" w:hAnsi="宋体" w:cs="宋体"/>
                <w:kern w:val="0"/>
                <w:sz w:val="24"/>
              </w:rPr>
              <w:t>效益指标</w:t>
            </w: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BF93F3">
            <w:pPr>
              <w:widowControl/>
              <w:jc w:val="center"/>
              <w:textAlignment w:val="center"/>
              <w:rPr>
                <w:rFonts w:ascii="宋体" w:cs="宋体"/>
                <w:sz w:val="24"/>
              </w:rPr>
            </w:pPr>
            <w:r>
              <w:rPr>
                <w:rFonts w:hint="eastAsia" w:ascii="宋体" w:cs="宋体"/>
                <w:sz w:val="24"/>
              </w:rPr>
              <w:t>可持续性</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EE2758">
            <w:pPr>
              <w:widowControl/>
              <w:jc w:val="center"/>
              <w:textAlignment w:val="center"/>
              <w:rPr>
                <w:rFonts w:ascii="宋体" w:cs="宋体"/>
                <w:sz w:val="24"/>
              </w:rPr>
            </w:pPr>
            <w:r>
              <w:rPr>
                <w:rFonts w:hint="eastAsia" w:ascii="宋体" w:cs="宋体"/>
                <w:sz w:val="24"/>
              </w:rPr>
              <w:t>使用年限</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560FAB">
            <w:pPr>
              <w:widowControl/>
              <w:jc w:val="center"/>
              <w:textAlignment w:val="center"/>
              <w:rPr>
                <w:rFonts w:ascii="宋体" w:cs="宋体"/>
                <w:sz w:val="24"/>
              </w:rPr>
            </w:pPr>
            <w:r>
              <w:rPr>
                <w:rFonts w:hint="eastAsia" w:ascii="宋体" w:cs="宋体"/>
                <w:sz w:val="24"/>
              </w:rPr>
              <w:t>1年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E74C95">
            <w:pPr>
              <w:widowControl/>
              <w:jc w:val="center"/>
              <w:textAlignment w:val="center"/>
              <w:rPr>
                <w:rFonts w:ascii="宋体" w:cs="宋体"/>
                <w:sz w:val="24"/>
              </w:rPr>
            </w:pPr>
            <w:r>
              <w:rPr>
                <w:rFonts w:hint="eastAsia" w:ascii="宋体" w:cs="宋体"/>
                <w:sz w:val="24"/>
              </w:rPr>
              <w:t>1年</w:t>
            </w:r>
          </w:p>
        </w:tc>
      </w:tr>
      <w:tr w14:paraId="27A6262A">
        <w:tblPrEx>
          <w:tblCellMar>
            <w:top w:w="0" w:type="dxa"/>
            <w:left w:w="0" w:type="dxa"/>
            <w:bottom w:w="0" w:type="dxa"/>
            <w:right w:w="0" w:type="dxa"/>
          </w:tblCellMar>
        </w:tblPrEx>
        <w:trPr>
          <w:trHeight w:val="733"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589EEF3">
            <w:pPr>
              <w:widowControl/>
              <w:jc w:val="left"/>
              <w:rPr>
                <w:rFonts w:ascii="宋体" w:cs="宋体"/>
                <w:sz w:val="24"/>
              </w:rPr>
            </w:pP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C950B6">
            <w:pPr>
              <w:widowControl/>
              <w:jc w:val="center"/>
              <w:textAlignment w:val="center"/>
              <w:rPr>
                <w:rFonts w:ascii="宋体" w:cs="宋体"/>
                <w:sz w:val="24"/>
              </w:rPr>
            </w:pPr>
            <w:r>
              <w:rPr>
                <w:rFonts w:hint="eastAsia" w:ascii="宋体" w:hAnsi="宋体" w:cs="宋体"/>
                <w:kern w:val="0"/>
                <w:sz w:val="24"/>
              </w:rPr>
              <w:t>效益指标</w:t>
            </w: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22CBEC">
            <w:pPr>
              <w:widowControl/>
              <w:jc w:val="center"/>
              <w:textAlignment w:val="center"/>
              <w:rPr>
                <w:rFonts w:ascii="宋体" w:cs="宋体"/>
                <w:sz w:val="24"/>
              </w:rPr>
            </w:pPr>
            <w:r>
              <w:rPr>
                <w:rFonts w:hint="eastAsia" w:ascii="宋体" w:cs="宋体"/>
                <w:sz w:val="24"/>
              </w:rPr>
              <w:t>经济效益</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A135A2">
            <w:pPr>
              <w:widowControl/>
              <w:jc w:val="center"/>
              <w:textAlignment w:val="center"/>
              <w:rPr>
                <w:rFonts w:ascii="宋体" w:cs="宋体"/>
                <w:sz w:val="24"/>
              </w:rPr>
            </w:pPr>
            <w:r>
              <w:rPr>
                <w:rFonts w:hint="eastAsia" w:ascii="宋体" w:cs="宋体"/>
                <w:sz w:val="24"/>
              </w:rPr>
              <w:t>提升国有土地内在价值</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FAC8CE">
            <w:pPr>
              <w:widowControl/>
              <w:jc w:val="center"/>
              <w:textAlignment w:val="center"/>
              <w:rPr>
                <w:rFonts w:ascii="宋体" w:hAnsi="宋体" w:cs="宋体"/>
                <w:sz w:val="24"/>
              </w:rPr>
            </w:pPr>
            <w:r>
              <w:rPr>
                <w:rFonts w:hint="eastAsia" w:ascii="宋体" w:hAnsi="宋体" w:cs="宋体"/>
                <w:sz w:val="24"/>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BC581F">
            <w:pPr>
              <w:widowControl/>
              <w:jc w:val="center"/>
              <w:textAlignment w:val="center"/>
              <w:rPr>
                <w:rFonts w:ascii="宋体" w:cs="宋体"/>
                <w:sz w:val="24"/>
              </w:rPr>
            </w:pPr>
            <w:r>
              <w:rPr>
                <w:rFonts w:hint="eastAsia" w:ascii="宋体" w:cs="宋体"/>
                <w:sz w:val="24"/>
              </w:rPr>
              <w:t>有效</w:t>
            </w:r>
          </w:p>
        </w:tc>
      </w:tr>
      <w:tr w14:paraId="2E1DCF41">
        <w:tblPrEx>
          <w:tblCellMar>
            <w:top w:w="0" w:type="dxa"/>
            <w:left w:w="0" w:type="dxa"/>
            <w:bottom w:w="0" w:type="dxa"/>
            <w:right w:w="0" w:type="dxa"/>
          </w:tblCellMar>
        </w:tblPrEx>
        <w:trPr>
          <w:trHeight w:val="1042"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BA842E3">
            <w:pPr>
              <w:widowControl/>
              <w:jc w:val="left"/>
              <w:rPr>
                <w:rFonts w:ascii="宋体" w:cs="宋体"/>
                <w:sz w:val="24"/>
              </w:rPr>
            </w:pP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7BDFEB">
            <w:pPr>
              <w:widowControl/>
              <w:jc w:val="center"/>
              <w:textAlignment w:val="center"/>
              <w:rPr>
                <w:rFonts w:ascii="宋体" w:cs="宋体"/>
                <w:sz w:val="24"/>
              </w:rPr>
            </w:pPr>
            <w:r>
              <w:rPr>
                <w:rFonts w:hint="eastAsia" w:ascii="宋体" w:hAnsi="宋体" w:cs="宋体"/>
                <w:kern w:val="0"/>
                <w:sz w:val="24"/>
              </w:rPr>
              <w:t>满意度指标</w:t>
            </w: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6C2373">
            <w:pPr>
              <w:widowControl/>
              <w:jc w:val="center"/>
              <w:textAlignment w:val="center"/>
              <w:rPr>
                <w:rFonts w:ascii="宋体" w:cs="宋体"/>
                <w:sz w:val="24"/>
              </w:rPr>
            </w:pPr>
            <w:r>
              <w:rPr>
                <w:rFonts w:hint="eastAsia" w:ascii="宋体" w:hAnsi="宋体" w:cs="宋体"/>
                <w:kern w:val="0"/>
                <w:sz w:val="24"/>
              </w:rPr>
              <w:t>满意度指标</w:t>
            </w: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D54314">
            <w:pPr>
              <w:widowControl/>
              <w:jc w:val="center"/>
              <w:textAlignment w:val="center"/>
              <w:rPr>
                <w:rFonts w:ascii="宋体" w:cs="宋体"/>
                <w:sz w:val="24"/>
              </w:rPr>
            </w:pPr>
            <w:r>
              <w:rPr>
                <w:rFonts w:hint="eastAsia" w:ascii="宋体" w:cs="宋体"/>
                <w:sz w:val="24"/>
              </w:rPr>
              <w:t>服务对象满意度</w:t>
            </w: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9475F5">
            <w:pPr>
              <w:widowControl/>
              <w:jc w:val="center"/>
              <w:textAlignment w:val="center"/>
              <w:rPr>
                <w:rFonts w:ascii="宋体" w:cs="宋体"/>
                <w:sz w:val="24"/>
              </w:rPr>
            </w:pPr>
            <w:r>
              <w:rPr>
                <w:rFonts w:hint="eastAsia" w:ascii="宋体" w:hAnsi="宋体" w:cs="宋体"/>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857EB8">
            <w:pPr>
              <w:widowControl/>
              <w:jc w:val="center"/>
              <w:textAlignment w:val="center"/>
              <w:rPr>
                <w:rFonts w:ascii="宋体" w:cs="宋体"/>
                <w:sz w:val="24"/>
              </w:rPr>
            </w:pPr>
            <w:r>
              <w:rPr>
                <w:rFonts w:hint="eastAsia" w:ascii="宋体" w:hAnsi="宋体" w:cs="宋体"/>
                <w:sz w:val="24"/>
              </w:rPr>
              <w:t>≥95%</w:t>
            </w:r>
          </w:p>
        </w:tc>
      </w:tr>
      <w:tr w14:paraId="6C81430B">
        <w:tblPrEx>
          <w:tblCellMar>
            <w:top w:w="0" w:type="dxa"/>
            <w:left w:w="0" w:type="dxa"/>
            <w:bottom w:w="0" w:type="dxa"/>
            <w:right w:w="0" w:type="dxa"/>
          </w:tblCellMar>
        </w:tblPrEx>
        <w:trPr>
          <w:trHeight w:val="1042" w:hRule="atLeast"/>
        </w:trPr>
        <w:tc>
          <w:tcPr>
            <w:tcW w:w="10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C8111F9">
            <w:pPr>
              <w:widowControl/>
              <w:jc w:val="left"/>
              <w:rPr>
                <w:rFonts w:ascii="宋体" w:cs="宋体"/>
                <w:sz w:val="24"/>
              </w:rPr>
            </w:pP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1F6484">
            <w:pPr>
              <w:widowControl/>
              <w:jc w:val="center"/>
              <w:textAlignment w:val="center"/>
              <w:rPr>
                <w:rFonts w:ascii="宋体" w:cs="宋体"/>
                <w:sz w:val="24"/>
              </w:rPr>
            </w:pPr>
          </w:p>
        </w:tc>
        <w:tc>
          <w:tcPr>
            <w:tcW w:w="11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EA7C9D">
            <w:pPr>
              <w:widowControl/>
              <w:jc w:val="center"/>
              <w:textAlignment w:val="center"/>
              <w:rPr>
                <w:rFonts w:ascii="宋体" w:cs="宋体"/>
                <w:sz w:val="24"/>
              </w:rPr>
            </w:pPr>
          </w:p>
        </w:tc>
        <w:tc>
          <w:tcPr>
            <w:tcW w:w="215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72D686">
            <w:pPr>
              <w:widowControl/>
              <w:jc w:val="center"/>
              <w:textAlignment w:val="center"/>
              <w:rPr>
                <w:rFonts w:ascii="宋体" w:cs="宋体"/>
                <w:sz w:val="24"/>
              </w:rPr>
            </w:pPr>
          </w:p>
        </w:tc>
        <w:tc>
          <w:tcPr>
            <w:tcW w:w="19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4EC351">
            <w:pPr>
              <w:widowControl/>
              <w:jc w:val="center"/>
              <w:textAlignment w:val="center"/>
              <w:rPr>
                <w:rFonts w:asci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EF8BAA">
            <w:pPr>
              <w:widowControl/>
              <w:jc w:val="center"/>
              <w:textAlignment w:val="center"/>
              <w:rPr>
                <w:rFonts w:ascii="宋体" w:cs="宋体"/>
                <w:sz w:val="24"/>
              </w:rPr>
            </w:pPr>
          </w:p>
        </w:tc>
      </w:tr>
    </w:tbl>
    <w:p w14:paraId="2995759D">
      <w:pPr>
        <w:rPr>
          <w:rFonts w:ascii="Calibri" w:hAnsi="Calibri"/>
        </w:rPr>
      </w:pPr>
    </w:p>
    <w:tbl>
      <w:tblPr>
        <w:tblStyle w:val="12"/>
        <w:tblpPr w:leftFromText="180" w:rightFromText="180" w:vertAnchor="text" w:horzAnchor="margin" w:tblpXSpec="center" w:tblpY="178"/>
        <w:tblOverlap w:val="never"/>
        <w:tblW w:w="10371" w:type="dxa"/>
        <w:tblInd w:w="0" w:type="dxa"/>
        <w:tblLayout w:type="fixed"/>
        <w:tblCellMar>
          <w:top w:w="0" w:type="dxa"/>
          <w:left w:w="0" w:type="dxa"/>
          <w:bottom w:w="0" w:type="dxa"/>
          <w:right w:w="0" w:type="dxa"/>
        </w:tblCellMar>
      </w:tblPr>
      <w:tblGrid>
        <w:gridCol w:w="801"/>
        <w:gridCol w:w="1367"/>
        <w:gridCol w:w="1025"/>
        <w:gridCol w:w="1784"/>
        <w:gridCol w:w="3002"/>
        <w:gridCol w:w="2392"/>
      </w:tblGrid>
      <w:tr w14:paraId="5CE6946B">
        <w:tblPrEx>
          <w:tblCellMar>
            <w:top w:w="0" w:type="dxa"/>
            <w:left w:w="0" w:type="dxa"/>
            <w:bottom w:w="0" w:type="dxa"/>
            <w:right w:w="0" w:type="dxa"/>
          </w:tblCellMar>
        </w:tblPrEx>
        <w:trPr>
          <w:trHeight w:val="1034" w:hRule="atLeast"/>
        </w:trPr>
        <w:tc>
          <w:tcPr>
            <w:tcW w:w="10371" w:type="dxa"/>
            <w:gridSpan w:val="6"/>
            <w:tcMar>
              <w:top w:w="15" w:type="dxa"/>
              <w:left w:w="15" w:type="dxa"/>
              <w:bottom w:w="0" w:type="dxa"/>
              <w:right w:w="15" w:type="dxa"/>
            </w:tcMar>
            <w:vAlign w:val="center"/>
          </w:tcPr>
          <w:p w14:paraId="73AA7029">
            <w:pPr>
              <w:widowControl/>
              <w:jc w:val="center"/>
              <w:textAlignment w:val="center"/>
              <w:rPr>
                <w:rFonts w:ascii="方正小标宋简体" w:eastAsia="方正小标宋简体" w:cs="宋体"/>
                <w:sz w:val="44"/>
                <w:szCs w:val="44"/>
              </w:rPr>
            </w:pPr>
            <w:r>
              <w:rPr>
                <w:rFonts w:hint="eastAsia" w:ascii="方正小标宋简体" w:hAnsi="黑体" w:eastAsia="方正小标宋简体" w:cs="宋体"/>
                <w:bCs/>
                <w:kern w:val="0"/>
                <w:sz w:val="44"/>
                <w:szCs w:val="44"/>
              </w:rPr>
              <w:t>项目支出绩效目标完成情况表</w:t>
            </w:r>
            <w:r>
              <w:rPr>
                <w:rFonts w:hint="eastAsia" w:ascii="方正小标宋简体" w:eastAsia="方正小标宋简体" w:cs="宋体"/>
                <w:b/>
                <w:bCs/>
                <w:kern w:val="0"/>
                <w:sz w:val="44"/>
                <w:szCs w:val="44"/>
              </w:rPr>
              <w:br w:type="textWrapping"/>
            </w:r>
            <w:r>
              <w:rPr>
                <w:rFonts w:hint="eastAsia" w:ascii="方正小标宋简体" w:hAnsi="宋体" w:eastAsia="方正小标宋简体" w:cs="宋体"/>
                <w:kern w:val="0"/>
                <w:sz w:val="44"/>
                <w:szCs w:val="44"/>
              </w:rPr>
              <w:t>(2018 年度)</w:t>
            </w:r>
          </w:p>
        </w:tc>
      </w:tr>
      <w:tr w14:paraId="5089CA09">
        <w:tblPrEx>
          <w:tblCellMar>
            <w:top w:w="0" w:type="dxa"/>
            <w:left w:w="0" w:type="dxa"/>
            <w:bottom w:w="0" w:type="dxa"/>
            <w:right w:w="0" w:type="dxa"/>
          </w:tblCellMar>
        </w:tblPrEx>
        <w:trPr>
          <w:trHeight w:val="276" w:hRule="atLeast"/>
        </w:trPr>
        <w:tc>
          <w:tcPr>
            <w:tcW w:w="319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22743F">
            <w:pPr>
              <w:widowControl/>
              <w:jc w:val="center"/>
              <w:textAlignment w:val="center"/>
              <w:rPr>
                <w:rFonts w:ascii="仿宋_GB2312" w:eastAsia="仿宋_GB2312" w:cs="宋体"/>
                <w:sz w:val="24"/>
              </w:rPr>
            </w:pPr>
            <w:r>
              <w:rPr>
                <w:rFonts w:hint="eastAsia" w:ascii="仿宋_GB2312" w:hAnsi="宋体" w:eastAsia="仿宋_GB2312"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36C183">
            <w:pPr>
              <w:widowControl/>
              <w:jc w:val="center"/>
              <w:textAlignment w:val="center"/>
              <w:rPr>
                <w:rFonts w:ascii="仿宋_GB2312" w:eastAsia="仿宋_GB2312" w:cs="宋体"/>
                <w:sz w:val="24"/>
              </w:rPr>
            </w:pPr>
            <w:r>
              <w:rPr>
                <w:rFonts w:hint="eastAsia" w:ascii="仿宋_GB2312" w:eastAsia="仿宋_GB2312" w:cs="宋体"/>
                <w:sz w:val="24"/>
              </w:rPr>
              <w:t>不动产登记业务费</w:t>
            </w:r>
          </w:p>
        </w:tc>
      </w:tr>
      <w:tr w14:paraId="445D04A4">
        <w:tblPrEx>
          <w:tblCellMar>
            <w:top w:w="0" w:type="dxa"/>
            <w:left w:w="0" w:type="dxa"/>
            <w:bottom w:w="0" w:type="dxa"/>
            <w:right w:w="0" w:type="dxa"/>
          </w:tblCellMar>
        </w:tblPrEx>
        <w:trPr>
          <w:trHeight w:val="276" w:hRule="atLeast"/>
        </w:trPr>
        <w:tc>
          <w:tcPr>
            <w:tcW w:w="319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3C23B7">
            <w:pPr>
              <w:widowControl/>
              <w:jc w:val="center"/>
              <w:textAlignment w:val="center"/>
              <w:rPr>
                <w:rFonts w:ascii="仿宋_GB2312" w:eastAsia="仿宋_GB2312" w:cs="宋体"/>
                <w:sz w:val="24"/>
              </w:rPr>
            </w:pPr>
            <w:r>
              <w:rPr>
                <w:rFonts w:hint="eastAsia" w:ascii="仿宋_GB2312" w:hAnsi="宋体" w:eastAsia="仿宋_GB2312"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105D23">
            <w:pPr>
              <w:widowControl/>
              <w:jc w:val="center"/>
              <w:textAlignment w:val="center"/>
              <w:rPr>
                <w:rFonts w:ascii="仿宋_GB2312" w:eastAsia="仿宋_GB2312" w:cs="宋体"/>
                <w:sz w:val="24"/>
              </w:rPr>
            </w:pPr>
            <w:r>
              <w:rPr>
                <w:rFonts w:hint="eastAsia" w:ascii="仿宋_GB2312" w:eastAsia="仿宋_GB2312" w:cs="宋体"/>
                <w:sz w:val="24"/>
              </w:rPr>
              <w:t>遂宁市不动产登记中心</w:t>
            </w:r>
          </w:p>
        </w:tc>
      </w:tr>
      <w:tr w14:paraId="3806B4C0">
        <w:tblPrEx>
          <w:tblCellMar>
            <w:top w:w="0" w:type="dxa"/>
            <w:left w:w="0" w:type="dxa"/>
            <w:bottom w:w="0" w:type="dxa"/>
            <w:right w:w="0" w:type="dxa"/>
          </w:tblCellMar>
        </w:tblPrEx>
        <w:trPr>
          <w:trHeight w:val="276" w:hRule="atLeast"/>
        </w:trPr>
        <w:tc>
          <w:tcPr>
            <w:tcW w:w="80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FD77C0">
            <w:pPr>
              <w:widowControl/>
              <w:jc w:val="center"/>
              <w:textAlignment w:val="center"/>
              <w:rPr>
                <w:rFonts w:ascii="仿宋_GB2312" w:eastAsia="仿宋_GB2312" w:cs="宋体"/>
                <w:sz w:val="24"/>
              </w:rPr>
            </w:pPr>
            <w:r>
              <w:rPr>
                <w:rFonts w:hint="eastAsia" w:ascii="仿宋_GB2312" w:hAnsi="宋体" w:eastAsia="仿宋_GB2312" w:cs="宋体"/>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C76CAD">
            <w:pPr>
              <w:widowControl/>
              <w:jc w:val="center"/>
              <w:textAlignment w:val="center"/>
              <w:rPr>
                <w:rFonts w:ascii="仿宋_GB2312" w:eastAsia="仿宋_GB2312" w:cs="宋体"/>
                <w:sz w:val="24"/>
              </w:rPr>
            </w:pPr>
            <w:r>
              <w:rPr>
                <w:rFonts w:hint="eastAsia" w:ascii="仿宋_GB2312" w:hAnsi="宋体" w:eastAsia="仿宋_GB2312" w:cs="宋体"/>
                <w:kern w:val="0"/>
                <w:sz w:val="24"/>
              </w:rPr>
              <w:t>预算数:</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0D950E">
            <w:pPr>
              <w:widowControl/>
              <w:jc w:val="center"/>
              <w:textAlignment w:val="center"/>
              <w:rPr>
                <w:rFonts w:ascii="仿宋_GB2312" w:eastAsia="仿宋_GB2312" w:cs="宋体"/>
                <w:sz w:val="24"/>
              </w:rPr>
            </w:pPr>
            <w:r>
              <w:rPr>
                <w:rFonts w:hint="eastAsia" w:ascii="仿宋_GB2312" w:eastAsia="仿宋_GB2312" w:cs="宋体"/>
                <w:sz w:val="24"/>
              </w:rPr>
              <w:t>54.50万元</w:t>
            </w: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D1A48C">
            <w:pPr>
              <w:widowControl/>
              <w:jc w:val="center"/>
              <w:textAlignment w:val="center"/>
              <w:rPr>
                <w:rFonts w:ascii="仿宋_GB2312" w:eastAsia="仿宋_GB2312" w:cs="宋体"/>
                <w:sz w:val="24"/>
              </w:rPr>
            </w:pPr>
            <w:r>
              <w:rPr>
                <w:rFonts w:hint="eastAsia" w:ascii="仿宋_GB2312" w:hAnsi="宋体" w:eastAsia="仿宋_GB2312" w:cs="宋体"/>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1DA014">
            <w:pPr>
              <w:widowControl/>
              <w:jc w:val="center"/>
              <w:textAlignment w:val="center"/>
              <w:rPr>
                <w:rFonts w:ascii="仿宋_GB2312" w:eastAsia="仿宋_GB2312" w:cs="宋体"/>
                <w:sz w:val="24"/>
              </w:rPr>
            </w:pPr>
            <w:r>
              <w:rPr>
                <w:rFonts w:hint="eastAsia" w:ascii="仿宋_GB2312" w:eastAsia="仿宋_GB2312" w:cs="宋体"/>
                <w:sz w:val="24"/>
              </w:rPr>
              <w:t>35.94万元</w:t>
            </w:r>
          </w:p>
        </w:tc>
      </w:tr>
      <w:tr w14:paraId="59165F08">
        <w:tblPrEx>
          <w:tblCellMar>
            <w:top w:w="0" w:type="dxa"/>
            <w:left w:w="0" w:type="dxa"/>
            <w:bottom w:w="0" w:type="dxa"/>
            <w:right w:w="0" w:type="dxa"/>
          </w:tblCellMar>
        </w:tblPrEx>
        <w:trPr>
          <w:trHeight w:val="276"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3972FB6B">
            <w:pPr>
              <w:widowControl/>
              <w:jc w:val="left"/>
              <w:rPr>
                <w:rFonts w:ascii="仿宋_GB2312" w:eastAsia="仿宋_GB2312"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864E0A">
            <w:pPr>
              <w:widowControl/>
              <w:jc w:val="center"/>
              <w:textAlignment w:val="center"/>
              <w:rPr>
                <w:rFonts w:ascii="仿宋_GB2312" w:eastAsia="仿宋_GB2312" w:cs="宋体"/>
                <w:sz w:val="24"/>
              </w:rPr>
            </w:pPr>
            <w:r>
              <w:rPr>
                <w:rFonts w:hint="eastAsia" w:ascii="仿宋_GB2312" w:hAnsi="宋体" w:eastAsia="仿宋_GB2312" w:cs="宋体"/>
                <w:kern w:val="0"/>
                <w:sz w:val="24"/>
              </w:rPr>
              <w:t>其中</w:t>
            </w:r>
            <w:r>
              <w:rPr>
                <w:rFonts w:hint="eastAsia" w:ascii="仿宋_GB2312" w:eastAsia="仿宋_GB2312" w:cs="宋体"/>
                <w:kern w:val="0"/>
                <w:sz w:val="24"/>
              </w:rPr>
              <w:t>-</w:t>
            </w:r>
            <w:r>
              <w:rPr>
                <w:rFonts w:hint="eastAsia" w:ascii="仿宋_GB2312" w:hAnsi="宋体" w:eastAsia="仿宋_GB2312" w:cs="宋体"/>
                <w:kern w:val="0"/>
                <w:sz w:val="24"/>
              </w:rPr>
              <w:t>财政拨款:</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1A7BC1">
            <w:pPr>
              <w:widowControl/>
              <w:jc w:val="center"/>
              <w:textAlignment w:val="center"/>
              <w:rPr>
                <w:rFonts w:ascii="仿宋_GB2312" w:eastAsia="仿宋_GB2312" w:cs="宋体"/>
                <w:sz w:val="24"/>
              </w:rPr>
            </w:pPr>
            <w:r>
              <w:rPr>
                <w:rFonts w:hint="eastAsia" w:ascii="仿宋_GB2312" w:eastAsia="仿宋_GB2312" w:cs="宋体"/>
                <w:sz w:val="24"/>
              </w:rPr>
              <w:t>54.50万元</w:t>
            </w: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A7CA23">
            <w:pPr>
              <w:widowControl/>
              <w:jc w:val="center"/>
              <w:textAlignment w:val="center"/>
              <w:rPr>
                <w:rFonts w:ascii="仿宋_GB2312" w:eastAsia="仿宋_GB2312" w:cs="宋体"/>
                <w:sz w:val="24"/>
              </w:rPr>
            </w:pPr>
            <w:r>
              <w:rPr>
                <w:rFonts w:hint="eastAsia" w:ascii="仿宋_GB2312" w:hAnsi="宋体" w:eastAsia="仿宋_GB2312" w:cs="宋体"/>
                <w:kern w:val="0"/>
                <w:sz w:val="24"/>
              </w:rPr>
              <w:t>其中</w:t>
            </w:r>
            <w:r>
              <w:rPr>
                <w:rFonts w:hint="eastAsia" w:ascii="仿宋_GB2312" w:eastAsia="仿宋_GB2312" w:cs="宋体"/>
                <w:kern w:val="0"/>
                <w:sz w:val="24"/>
              </w:rPr>
              <w:t>-</w:t>
            </w:r>
            <w:r>
              <w:rPr>
                <w:rFonts w:hint="eastAsia" w:ascii="仿宋_GB2312" w:hAnsi="宋体" w:eastAsia="仿宋_GB2312" w:cs="宋体"/>
                <w:kern w:val="0"/>
                <w:sz w:val="24"/>
              </w:rPr>
              <w:t>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55B76D">
            <w:pPr>
              <w:widowControl/>
              <w:jc w:val="center"/>
              <w:textAlignment w:val="center"/>
              <w:rPr>
                <w:rFonts w:ascii="仿宋_GB2312" w:eastAsia="仿宋_GB2312" w:cs="宋体"/>
                <w:sz w:val="24"/>
              </w:rPr>
            </w:pPr>
            <w:r>
              <w:rPr>
                <w:rFonts w:hint="eastAsia" w:ascii="仿宋_GB2312" w:eastAsia="仿宋_GB2312" w:cs="宋体"/>
                <w:sz w:val="24"/>
              </w:rPr>
              <w:t>35.94万元</w:t>
            </w:r>
          </w:p>
        </w:tc>
      </w:tr>
      <w:tr w14:paraId="59E0606C">
        <w:tblPrEx>
          <w:tblCellMar>
            <w:top w:w="0" w:type="dxa"/>
            <w:left w:w="0" w:type="dxa"/>
            <w:bottom w:w="0" w:type="dxa"/>
            <w:right w:w="0" w:type="dxa"/>
          </w:tblCellMar>
        </w:tblPrEx>
        <w:trPr>
          <w:trHeight w:val="763"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767191E3">
            <w:pPr>
              <w:widowControl/>
              <w:jc w:val="left"/>
              <w:rPr>
                <w:rFonts w:ascii="仿宋_GB2312" w:eastAsia="仿宋_GB2312"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9ECCF7">
            <w:pPr>
              <w:widowControl/>
              <w:jc w:val="center"/>
              <w:textAlignment w:val="center"/>
              <w:rPr>
                <w:rFonts w:ascii="仿宋_GB2312" w:eastAsia="仿宋_GB2312" w:cs="宋体"/>
                <w:sz w:val="24"/>
              </w:rPr>
            </w:pPr>
            <w:r>
              <w:rPr>
                <w:rFonts w:hint="eastAsia" w:ascii="仿宋_GB2312" w:hAnsi="宋体" w:eastAsia="仿宋_GB2312" w:cs="宋体"/>
                <w:kern w:val="0"/>
                <w:sz w:val="24"/>
              </w:rPr>
              <w:t>其它资金:</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3442FC">
            <w:pPr>
              <w:widowControl/>
              <w:jc w:val="center"/>
              <w:textAlignment w:val="center"/>
              <w:rPr>
                <w:rFonts w:ascii="仿宋_GB2312" w:eastAsia="仿宋_GB2312" w:cs="宋体"/>
                <w:sz w:val="24"/>
              </w:rPr>
            </w:pPr>
            <w:r>
              <w:rPr>
                <w:rFonts w:hint="eastAsia" w:ascii="仿宋_GB2312" w:eastAsia="仿宋_GB2312" w:cs="宋体"/>
                <w:kern w:val="0"/>
                <w:sz w:val="24"/>
              </w:rPr>
              <w:t>0</w:t>
            </w: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870BFB">
            <w:pPr>
              <w:widowControl/>
              <w:jc w:val="center"/>
              <w:textAlignment w:val="center"/>
              <w:rPr>
                <w:rFonts w:ascii="仿宋_GB2312" w:eastAsia="仿宋_GB2312" w:cs="宋体"/>
                <w:sz w:val="24"/>
              </w:rPr>
            </w:pPr>
            <w:r>
              <w:rPr>
                <w:rFonts w:hint="eastAsia" w:ascii="仿宋_GB2312" w:hAnsi="宋体" w:eastAsia="仿宋_GB2312"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E74CFF">
            <w:pPr>
              <w:jc w:val="center"/>
              <w:rPr>
                <w:rFonts w:ascii="仿宋_GB2312" w:eastAsia="仿宋_GB2312" w:cs="宋体"/>
                <w:sz w:val="24"/>
              </w:rPr>
            </w:pPr>
            <w:r>
              <w:rPr>
                <w:rFonts w:hint="eastAsia" w:ascii="仿宋_GB2312" w:eastAsia="仿宋_GB2312" w:cs="宋体"/>
                <w:sz w:val="24"/>
              </w:rPr>
              <w:t>0</w:t>
            </w:r>
          </w:p>
        </w:tc>
      </w:tr>
      <w:tr w14:paraId="4E4321A5">
        <w:tblPrEx>
          <w:tblCellMar>
            <w:top w:w="0" w:type="dxa"/>
            <w:left w:w="0" w:type="dxa"/>
            <w:bottom w:w="0" w:type="dxa"/>
            <w:right w:w="0" w:type="dxa"/>
          </w:tblCellMar>
        </w:tblPrEx>
        <w:trPr>
          <w:trHeight w:val="276" w:hRule="atLeast"/>
        </w:trPr>
        <w:tc>
          <w:tcPr>
            <w:tcW w:w="80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72718C">
            <w:pPr>
              <w:widowControl/>
              <w:jc w:val="center"/>
              <w:textAlignment w:val="center"/>
              <w:rPr>
                <w:rFonts w:ascii="仿宋_GB2312" w:eastAsia="仿宋_GB2312" w:cs="宋体"/>
                <w:sz w:val="24"/>
              </w:rPr>
            </w:pPr>
            <w:r>
              <w:rPr>
                <w:rFonts w:hint="eastAsia" w:ascii="仿宋_GB2312" w:hAnsi="宋体" w:eastAsia="仿宋_GB2312" w:cs="宋体"/>
                <w:kern w:val="0"/>
                <w:sz w:val="24"/>
              </w:rPr>
              <w:t>年度目标完成情况</w:t>
            </w:r>
          </w:p>
        </w:tc>
        <w:tc>
          <w:tcPr>
            <w:tcW w:w="417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C92C16">
            <w:pPr>
              <w:widowControl/>
              <w:jc w:val="center"/>
              <w:textAlignment w:val="center"/>
              <w:rPr>
                <w:rFonts w:ascii="仿宋_GB2312" w:eastAsia="仿宋_GB2312" w:cs="宋体"/>
                <w:sz w:val="24"/>
              </w:rPr>
            </w:pPr>
            <w:r>
              <w:rPr>
                <w:rFonts w:hint="eastAsia" w:ascii="仿宋_GB2312" w:hAnsi="宋体" w:eastAsia="仿宋_GB2312" w:cs="宋体"/>
                <w:kern w:val="0"/>
                <w:sz w:val="24"/>
              </w:rPr>
              <w:t>预期目标</w:t>
            </w:r>
          </w:p>
        </w:tc>
        <w:tc>
          <w:tcPr>
            <w:tcW w:w="5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DECC00">
            <w:pPr>
              <w:widowControl/>
              <w:jc w:val="center"/>
              <w:textAlignment w:val="center"/>
              <w:rPr>
                <w:rFonts w:ascii="仿宋_GB2312" w:eastAsia="仿宋_GB2312" w:cs="宋体"/>
                <w:sz w:val="24"/>
              </w:rPr>
            </w:pPr>
            <w:r>
              <w:rPr>
                <w:rFonts w:hint="eastAsia" w:ascii="仿宋_GB2312" w:hAnsi="宋体" w:eastAsia="仿宋_GB2312" w:cs="宋体"/>
                <w:kern w:val="0"/>
                <w:sz w:val="24"/>
              </w:rPr>
              <w:t>实际完成目标</w:t>
            </w:r>
          </w:p>
        </w:tc>
      </w:tr>
      <w:tr w14:paraId="328C24FF">
        <w:tblPrEx>
          <w:tblCellMar>
            <w:top w:w="0" w:type="dxa"/>
            <w:left w:w="0" w:type="dxa"/>
            <w:bottom w:w="0" w:type="dxa"/>
            <w:right w:w="0" w:type="dxa"/>
          </w:tblCellMar>
        </w:tblPrEx>
        <w:trPr>
          <w:trHeight w:val="1159"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45D31849">
            <w:pPr>
              <w:widowControl/>
              <w:jc w:val="left"/>
              <w:rPr>
                <w:rFonts w:ascii="仿宋_GB2312" w:eastAsia="仿宋_GB2312" w:cs="宋体"/>
                <w:sz w:val="24"/>
              </w:rPr>
            </w:pPr>
          </w:p>
        </w:tc>
        <w:tc>
          <w:tcPr>
            <w:tcW w:w="417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325941">
            <w:pPr>
              <w:rPr>
                <w:rFonts w:cs="宋体"/>
              </w:rPr>
            </w:pPr>
            <w:r>
              <w:rPr>
                <w:rFonts w:hint="eastAsia" w:cs="宋体"/>
              </w:rPr>
              <w:t>购买</w:t>
            </w:r>
            <w:r>
              <w:rPr>
                <w:rFonts w:hint="eastAsia"/>
              </w:rPr>
              <w:t>自然资源部特制证书、证明，开展不动产登记专项宣传，</w:t>
            </w:r>
            <w:r>
              <w:rPr>
                <w:rFonts w:hint="eastAsia" w:cs="楷体"/>
              </w:rPr>
              <w:t>实现房管、税务、不动产登记三窗合一，群众办理不动产登记“最多跑一次”。</w:t>
            </w:r>
          </w:p>
        </w:tc>
        <w:tc>
          <w:tcPr>
            <w:tcW w:w="5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1E62A2">
            <w:pPr>
              <w:rPr>
                <w:rFonts w:cs="宋体"/>
              </w:rPr>
            </w:pPr>
            <w:r>
              <w:rPr>
                <w:rFonts w:hint="eastAsia" w:cs="宋体"/>
              </w:rPr>
              <w:t>购买</w:t>
            </w:r>
            <w:r>
              <w:rPr>
                <w:rFonts w:hint="eastAsia"/>
              </w:rPr>
              <w:t>自然资源部特制证书、证明，开展不动产登记专项宣传，</w:t>
            </w:r>
            <w:r>
              <w:rPr>
                <w:rFonts w:hint="eastAsia" w:cs="楷体"/>
              </w:rPr>
              <w:t>实现房管、税务、不动产登记三窗合一，群众办理不动产登记“最多跑一次”。推行登记服务“113”工作机制，服务效率全省领先。</w:t>
            </w:r>
          </w:p>
        </w:tc>
      </w:tr>
      <w:tr w14:paraId="068C68ED">
        <w:tblPrEx>
          <w:tblCellMar>
            <w:top w:w="0" w:type="dxa"/>
            <w:left w:w="0" w:type="dxa"/>
            <w:bottom w:w="0" w:type="dxa"/>
            <w:right w:w="0" w:type="dxa"/>
          </w:tblCellMar>
        </w:tblPrEx>
        <w:trPr>
          <w:trHeight w:val="1042" w:hRule="atLeast"/>
        </w:trPr>
        <w:tc>
          <w:tcPr>
            <w:tcW w:w="80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9535E2">
            <w:pPr>
              <w:widowControl/>
              <w:jc w:val="center"/>
              <w:textAlignment w:val="center"/>
              <w:rPr>
                <w:rFonts w:ascii="仿宋_GB2312" w:eastAsia="仿宋_GB2312" w:cs="宋体"/>
                <w:sz w:val="24"/>
              </w:rPr>
            </w:pPr>
            <w:r>
              <w:rPr>
                <w:rFonts w:hint="eastAsia" w:ascii="仿宋_GB2312" w:hAnsi="宋体" w:eastAsia="仿宋_GB2312"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045940">
            <w:pPr>
              <w:widowControl/>
              <w:jc w:val="center"/>
              <w:textAlignment w:val="center"/>
              <w:rPr>
                <w:rFonts w:ascii="仿宋_GB2312" w:eastAsia="仿宋_GB2312" w:cs="宋体"/>
                <w:sz w:val="24"/>
              </w:rPr>
            </w:pPr>
            <w:r>
              <w:rPr>
                <w:rFonts w:hint="eastAsia" w:ascii="仿宋_GB2312" w:hAnsi="宋体" w:eastAsia="仿宋_GB2312"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1B0285">
            <w:pPr>
              <w:widowControl/>
              <w:jc w:val="center"/>
              <w:textAlignment w:val="center"/>
              <w:rPr>
                <w:rFonts w:ascii="仿宋_GB2312" w:eastAsia="仿宋_GB2312" w:cs="宋体"/>
                <w:sz w:val="24"/>
              </w:rPr>
            </w:pPr>
            <w:r>
              <w:rPr>
                <w:rFonts w:hint="eastAsia" w:ascii="仿宋_GB2312" w:hAnsi="宋体" w:eastAsia="仿宋_GB2312" w:cs="宋体"/>
                <w:kern w:val="0"/>
                <w:sz w:val="24"/>
              </w:rPr>
              <w:t>二级指标</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CF5736">
            <w:pPr>
              <w:widowControl/>
              <w:jc w:val="center"/>
              <w:textAlignment w:val="center"/>
              <w:rPr>
                <w:rFonts w:ascii="仿宋_GB2312" w:eastAsia="仿宋_GB2312" w:cs="宋体"/>
                <w:sz w:val="24"/>
              </w:rPr>
            </w:pPr>
            <w:r>
              <w:rPr>
                <w:rFonts w:hint="eastAsia" w:ascii="仿宋_GB2312" w:hAnsi="宋体" w:eastAsia="仿宋_GB2312" w:cs="宋体"/>
                <w:kern w:val="0"/>
                <w:sz w:val="24"/>
              </w:rPr>
              <w:t>三级指标</w:t>
            </w: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665B9F">
            <w:pPr>
              <w:widowControl/>
              <w:jc w:val="center"/>
              <w:textAlignment w:val="center"/>
              <w:rPr>
                <w:rFonts w:ascii="仿宋_GB2312" w:eastAsia="仿宋_GB2312" w:cs="宋体"/>
                <w:sz w:val="24"/>
              </w:rPr>
            </w:pPr>
            <w:r>
              <w:rPr>
                <w:rFonts w:hint="eastAsia" w:ascii="仿宋_GB2312" w:hAnsi="宋体" w:eastAsia="仿宋_GB2312" w:cs="宋体"/>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04CC29">
            <w:pPr>
              <w:widowControl/>
              <w:jc w:val="center"/>
              <w:textAlignment w:val="center"/>
              <w:rPr>
                <w:rFonts w:ascii="仿宋_GB2312" w:eastAsia="仿宋_GB2312" w:cs="宋体"/>
                <w:sz w:val="24"/>
              </w:rPr>
            </w:pPr>
            <w:r>
              <w:rPr>
                <w:rFonts w:hint="eastAsia" w:ascii="仿宋_GB2312" w:hAnsi="宋体" w:eastAsia="仿宋_GB2312" w:cs="宋体"/>
                <w:kern w:val="0"/>
                <w:sz w:val="24"/>
              </w:rPr>
              <w:t>实际完成指标值(包含数字及文字描述)</w:t>
            </w:r>
          </w:p>
        </w:tc>
      </w:tr>
      <w:tr w14:paraId="7AE9CD64">
        <w:tblPrEx>
          <w:tblCellMar>
            <w:top w:w="0" w:type="dxa"/>
            <w:left w:w="0" w:type="dxa"/>
            <w:bottom w:w="0" w:type="dxa"/>
            <w:right w:w="0" w:type="dxa"/>
          </w:tblCellMar>
        </w:tblPrEx>
        <w:trPr>
          <w:trHeight w:val="953"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27C6D3CA">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A59ECF">
            <w:pPr>
              <w:widowControl/>
              <w:jc w:val="center"/>
              <w:textAlignment w:val="center"/>
              <w:rPr>
                <w:rFonts w:ascii="仿宋_GB2312" w:hAnsi="仿宋" w:eastAsia="仿宋_GB2312" w:cs="宋体"/>
                <w:szCs w:val="21"/>
              </w:rPr>
            </w:pPr>
            <w:r>
              <w:rPr>
                <w:rFonts w:hint="eastAsia" w:ascii="仿宋_GB2312" w:hAnsi="仿宋" w:eastAsia="仿宋_GB2312" w:cs="宋体"/>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12B5D5">
            <w:pPr>
              <w:widowControl/>
              <w:jc w:val="center"/>
              <w:textAlignment w:val="center"/>
              <w:rPr>
                <w:rFonts w:ascii="仿宋_GB2312" w:hAnsi="仿宋" w:eastAsia="仿宋_GB2312" w:cs="宋体"/>
                <w:szCs w:val="21"/>
              </w:rPr>
            </w:pPr>
            <w:r>
              <w:rPr>
                <w:rFonts w:hint="eastAsia" w:ascii="仿宋_GB2312" w:hAnsi="仿宋" w:eastAsia="仿宋_GB2312" w:cs="宋体"/>
                <w:szCs w:val="21"/>
              </w:rPr>
              <w:t>数量指标</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B47877">
            <w:pPr>
              <w:rPr>
                <w:rFonts w:cs="宋体"/>
              </w:rPr>
            </w:pPr>
            <w:r>
              <w:rPr>
                <w:rFonts w:hint="eastAsia"/>
              </w:rPr>
              <w:t>精简办证资料，推行一窗受理</w:t>
            </w: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4509D6">
            <w:pPr>
              <w:rPr>
                <w:rFonts w:cs="宋体"/>
              </w:rPr>
            </w:pPr>
            <w:r>
              <w:rPr>
                <w:rFonts w:hint="eastAsia" w:cs="楷体"/>
                <w:bCs/>
              </w:rPr>
              <w:t>精简原办证所需三套25个材料精简为一套12个材料</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C749BB">
            <w:pPr>
              <w:rPr>
                <w:rFonts w:cs="宋体"/>
              </w:rPr>
            </w:pPr>
            <w:r>
              <w:rPr>
                <w:rFonts w:hint="eastAsia" w:cs="楷体"/>
                <w:bCs/>
              </w:rPr>
              <w:t>精简原办证所需三套25个材料精简为一套12个材料</w:t>
            </w:r>
          </w:p>
        </w:tc>
      </w:tr>
      <w:tr w14:paraId="25045409">
        <w:tblPrEx>
          <w:tblCellMar>
            <w:top w:w="0" w:type="dxa"/>
            <w:left w:w="0" w:type="dxa"/>
            <w:bottom w:w="0" w:type="dxa"/>
            <w:right w:w="0" w:type="dxa"/>
          </w:tblCellMar>
        </w:tblPrEx>
        <w:trPr>
          <w:trHeight w:val="1297"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672D08B6">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A5647B">
            <w:pPr>
              <w:widowControl/>
              <w:jc w:val="center"/>
              <w:textAlignment w:val="center"/>
              <w:rPr>
                <w:rFonts w:ascii="仿宋_GB2312" w:hAnsi="仿宋" w:eastAsia="仿宋_GB2312" w:cs="宋体"/>
                <w:szCs w:val="21"/>
              </w:rPr>
            </w:pPr>
            <w:r>
              <w:rPr>
                <w:rFonts w:hint="eastAsia" w:ascii="仿宋_GB2312" w:hAnsi="仿宋" w:eastAsia="仿宋_GB2312" w:cs="宋体"/>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B4A42B">
            <w:pPr>
              <w:widowControl/>
              <w:jc w:val="center"/>
              <w:textAlignment w:val="center"/>
              <w:rPr>
                <w:rFonts w:ascii="仿宋_GB2312" w:hAnsi="仿宋" w:eastAsia="仿宋_GB2312" w:cs="宋体"/>
                <w:szCs w:val="21"/>
              </w:rPr>
            </w:pPr>
            <w:r>
              <w:rPr>
                <w:rFonts w:hint="eastAsia" w:ascii="仿宋_GB2312" w:hAnsi="仿宋" w:eastAsia="仿宋_GB2312" w:cs="宋体"/>
                <w:szCs w:val="21"/>
              </w:rPr>
              <w:t>数量指标</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4EC29C">
            <w:pPr>
              <w:rPr>
                <w:rFonts w:cs="宋体"/>
              </w:rPr>
            </w:pPr>
            <w:r>
              <w:rPr>
                <w:rFonts w:hint="eastAsia" w:cs="楷体"/>
                <w:bCs/>
              </w:rPr>
              <w:t>压缩不动产登记服务时限</w:t>
            </w: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99C3F7">
            <w:pPr>
              <w:rPr>
                <w:rFonts w:cs="宋体"/>
              </w:rPr>
            </w:pPr>
            <w:r>
              <w:rPr>
                <w:rFonts w:hint="eastAsia" w:cs="楷体"/>
                <w:bCs/>
              </w:rPr>
              <w:t>房屋所有权抵押登记等11类登记事项提速至1小时办结，整体办理时限压缩至3个工作日。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670D17">
            <w:pPr>
              <w:rPr>
                <w:rFonts w:cs="宋体"/>
              </w:rPr>
            </w:pPr>
            <w:r>
              <w:rPr>
                <w:rFonts w:hint="eastAsia" w:cs="楷体"/>
                <w:bCs/>
              </w:rPr>
              <w:t>房屋所有权抵押登记等11类登记事项提速至1小时办结，整体办理时限压缩至3个工作日。</w:t>
            </w:r>
          </w:p>
        </w:tc>
      </w:tr>
      <w:tr w14:paraId="77C47783">
        <w:tblPrEx>
          <w:tblCellMar>
            <w:top w:w="0" w:type="dxa"/>
            <w:left w:w="0" w:type="dxa"/>
            <w:bottom w:w="0" w:type="dxa"/>
            <w:right w:w="0" w:type="dxa"/>
          </w:tblCellMar>
        </w:tblPrEx>
        <w:trPr>
          <w:trHeight w:val="1042"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2D5D7EF7">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2C0856">
            <w:pPr>
              <w:widowControl/>
              <w:jc w:val="center"/>
              <w:textAlignment w:val="center"/>
              <w:rPr>
                <w:rFonts w:ascii="仿宋_GB2312" w:hAnsi="仿宋" w:eastAsia="仿宋_GB2312" w:cs="宋体"/>
                <w:szCs w:val="21"/>
              </w:rPr>
            </w:pPr>
            <w:r>
              <w:rPr>
                <w:rFonts w:hint="eastAsia" w:ascii="仿宋_GB2312" w:hAnsi="仿宋" w:eastAsia="仿宋_GB2312" w:cs="宋体"/>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854A6E">
            <w:pPr>
              <w:widowControl/>
              <w:jc w:val="center"/>
              <w:textAlignment w:val="center"/>
              <w:rPr>
                <w:rFonts w:ascii="仿宋_GB2312" w:hAnsi="仿宋" w:eastAsia="仿宋_GB2312" w:cs="宋体"/>
                <w:szCs w:val="21"/>
              </w:rPr>
            </w:pPr>
            <w:r>
              <w:rPr>
                <w:rFonts w:hint="eastAsia" w:ascii="仿宋_GB2312" w:hAnsi="仿宋" w:eastAsia="仿宋_GB2312" w:cs="宋体"/>
                <w:szCs w:val="21"/>
              </w:rPr>
              <w:t>社会效益</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03049F">
            <w:pPr>
              <w:rPr>
                <w:rFonts w:cs="宋体"/>
              </w:rPr>
            </w:pPr>
            <w:r>
              <w:rPr>
                <w:rFonts w:hint="eastAsia" w:cs="宋体"/>
              </w:rPr>
              <w:t>营造不动产登记良好氛围</w:t>
            </w: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D3BD79">
            <w:pPr>
              <w:rPr>
                <w:rFonts w:cs="宋体"/>
              </w:rPr>
            </w:pPr>
            <w:r>
              <w:rPr>
                <w:rFonts w:hint="eastAsia"/>
              </w:rPr>
              <w:t>查根源添措施</w:t>
            </w:r>
            <w:r>
              <w:rPr>
                <w:rFonts w:hint="eastAsia" w:cs="楷体"/>
                <w:bCs/>
              </w:rPr>
              <w:t>从源头上规范治理办证难题。自加压力，压缩不动产登记服务时限。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C5396C">
            <w:pPr>
              <w:rPr>
                <w:rFonts w:cs="宋体"/>
              </w:rPr>
            </w:pPr>
            <w:r>
              <w:rPr>
                <w:rFonts w:hint="eastAsia" w:cs="楷体"/>
                <w:bCs/>
              </w:rPr>
              <w:t>与税务局联合发布了《关于市城区预购商品房申请办理预告登记等有关事项的通告》，从不动产交易源头增添办理房屋所有权预告登记措施，治理办证难题。压缩不动产登记服务时限，服务效率全省领先</w:t>
            </w:r>
          </w:p>
        </w:tc>
      </w:tr>
      <w:tr w14:paraId="3F09975E">
        <w:tblPrEx>
          <w:tblCellMar>
            <w:top w:w="0" w:type="dxa"/>
            <w:left w:w="0" w:type="dxa"/>
            <w:bottom w:w="0" w:type="dxa"/>
            <w:right w:w="0" w:type="dxa"/>
          </w:tblCellMar>
        </w:tblPrEx>
        <w:trPr>
          <w:trHeight w:val="1042"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7F8A4D29">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907107">
            <w:pPr>
              <w:widowControl/>
              <w:jc w:val="center"/>
              <w:textAlignment w:val="center"/>
              <w:rPr>
                <w:rFonts w:ascii="仿宋_GB2312" w:hAnsi="仿宋" w:eastAsia="仿宋_GB2312" w:cs="宋体"/>
                <w:kern w:val="0"/>
                <w:szCs w:val="21"/>
              </w:rPr>
            </w:pPr>
            <w:r>
              <w:rPr>
                <w:rFonts w:hint="eastAsia" w:ascii="仿宋_GB2312" w:hAnsi="仿宋" w:eastAsia="仿宋_GB2312" w:cs="宋体"/>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5B8A51">
            <w:pPr>
              <w:widowControl/>
              <w:jc w:val="center"/>
              <w:textAlignment w:val="center"/>
              <w:rPr>
                <w:rFonts w:ascii="仿宋_GB2312" w:hAnsi="仿宋" w:eastAsia="仿宋_GB2312" w:cs="宋体"/>
                <w:szCs w:val="21"/>
              </w:rPr>
            </w:pPr>
            <w:r>
              <w:rPr>
                <w:rFonts w:hint="eastAsia" w:ascii="仿宋_GB2312" w:hAnsi="仿宋" w:eastAsia="仿宋_GB2312" w:cs="宋体"/>
                <w:szCs w:val="21"/>
              </w:rPr>
              <w:t>群众满意度</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3F711F">
            <w:pPr>
              <w:rPr>
                <w:rFonts w:cs="宋体"/>
              </w:rPr>
            </w:pPr>
            <w:r>
              <w:rPr>
                <w:rFonts w:hint="eastAsia" w:cs="宋体"/>
              </w:rPr>
              <w:t>群众满意度</w:t>
            </w: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7BD166">
            <w:pPr>
              <w:rPr>
                <w:rFonts w:cs="宋体"/>
              </w:rPr>
            </w:pPr>
            <w:r>
              <w:rPr>
                <w:rFonts w:hint="eastAsia" w:cs="宋体"/>
              </w:rPr>
              <w:t>不动产登记受到群众</w:t>
            </w:r>
            <w:r>
              <w:rPr>
                <w:rFonts w:hint="eastAsia" w:cs="楷体"/>
                <w:bCs/>
              </w:rPr>
              <w:t>一致好评，</w:t>
            </w:r>
            <w:r>
              <w:rPr>
                <w:rFonts w:hint="eastAsia" w:cs="宋体"/>
              </w:rPr>
              <w:t>群众满意度95%以上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033B8F">
            <w:pPr>
              <w:rPr>
                <w:rFonts w:cs="宋体"/>
              </w:rPr>
            </w:pPr>
            <w:r>
              <w:rPr>
                <w:rFonts w:hint="eastAsia" w:cs="宋体"/>
              </w:rPr>
              <w:t>不动产登记受到群众</w:t>
            </w:r>
            <w:r>
              <w:rPr>
                <w:rFonts w:hint="eastAsia" w:cs="楷体"/>
                <w:bCs/>
              </w:rPr>
              <w:t>一致好评，</w:t>
            </w:r>
            <w:r>
              <w:rPr>
                <w:rFonts w:hint="eastAsia" w:cs="宋体"/>
              </w:rPr>
              <w:t>群众满意度95%以上</w:t>
            </w:r>
          </w:p>
        </w:tc>
      </w:tr>
      <w:tr w14:paraId="7213E37D">
        <w:tblPrEx>
          <w:tblCellMar>
            <w:top w:w="0" w:type="dxa"/>
            <w:left w:w="0" w:type="dxa"/>
            <w:bottom w:w="0" w:type="dxa"/>
            <w:right w:w="0" w:type="dxa"/>
          </w:tblCellMar>
        </w:tblPrEx>
        <w:trPr>
          <w:trHeight w:val="1042"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29E0B4E2">
            <w:pPr>
              <w:widowControl/>
              <w:jc w:val="left"/>
              <w:rPr>
                <w:rFonts w:ascii="仿宋_GB2312" w:eastAsia="仿宋_GB2312"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A5225A">
            <w:pPr>
              <w:widowControl/>
              <w:jc w:val="center"/>
              <w:textAlignment w:val="center"/>
              <w:rPr>
                <w:rFonts w:ascii="仿宋_GB2312" w:eastAsia="仿宋_GB2312" w:cs="宋体"/>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8A7A7C">
            <w:pPr>
              <w:widowControl/>
              <w:jc w:val="center"/>
              <w:textAlignment w:val="center"/>
              <w:rPr>
                <w:rFonts w:ascii="仿宋_GB2312" w:eastAsia="仿宋_GB2312" w:cs="宋体"/>
                <w:sz w:val="24"/>
              </w:rPr>
            </w:pP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DF71FF">
            <w:pPr>
              <w:widowControl/>
              <w:jc w:val="center"/>
              <w:textAlignment w:val="center"/>
              <w:rPr>
                <w:rFonts w:ascii="仿宋_GB2312" w:eastAsia="仿宋_GB2312" w:cs="宋体"/>
                <w:sz w:val="24"/>
              </w:rPr>
            </w:pPr>
          </w:p>
        </w:tc>
        <w:tc>
          <w:tcPr>
            <w:tcW w:w="30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7FDEE9">
            <w:pPr>
              <w:widowControl/>
              <w:jc w:val="center"/>
              <w:textAlignment w:val="center"/>
              <w:rPr>
                <w:rFonts w:ascii="仿宋_GB2312" w:eastAsia="仿宋_GB2312"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2D6752">
            <w:pPr>
              <w:widowControl/>
              <w:jc w:val="center"/>
              <w:textAlignment w:val="center"/>
              <w:rPr>
                <w:rFonts w:ascii="仿宋_GB2312" w:eastAsia="仿宋_GB2312" w:cs="宋体"/>
                <w:sz w:val="24"/>
              </w:rPr>
            </w:pPr>
          </w:p>
        </w:tc>
      </w:tr>
    </w:tbl>
    <w:p w14:paraId="2B7E5D4F">
      <w:pPr>
        <w:tabs>
          <w:tab w:val="left" w:pos="312"/>
        </w:tabs>
        <w:spacing w:line="580" w:lineRule="exact"/>
        <w:rPr>
          <w:rFonts w:ascii="仿宋_GB2312" w:hAnsi="仿宋_GB2312" w:eastAsia="仿宋_GB2312" w:cs="仿宋_GB2312"/>
          <w:sz w:val="32"/>
          <w:szCs w:val="32"/>
        </w:rPr>
      </w:pPr>
    </w:p>
    <w:p w14:paraId="07C86404">
      <w:pPr>
        <w:rPr>
          <w:rFonts w:ascii="Calibri" w:hAnsi="Calibri"/>
        </w:rPr>
      </w:pPr>
    </w:p>
    <w:p w14:paraId="054B825F">
      <w:pPr>
        <w:rPr>
          <w:rFonts w:ascii="Calibri" w:hAnsi="Calibri"/>
        </w:rPr>
      </w:pPr>
    </w:p>
    <w:p w14:paraId="37F6924F">
      <w:pPr>
        <w:rPr>
          <w:rFonts w:ascii="Calibri" w:hAnsi="Calibri"/>
        </w:rPr>
      </w:pPr>
    </w:p>
    <w:p w14:paraId="2B96159A">
      <w:pPr>
        <w:rPr>
          <w:rFonts w:ascii="Calibri" w:hAnsi="Calibri"/>
        </w:rPr>
      </w:pPr>
    </w:p>
    <w:tbl>
      <w:tblPr>
        <w:tblStyle w:val="12"/>
        <w:tblpPr w:leftFromText="180" w:rightFromText="180" w:vertAnchor="text" w:horzAnchor="margin" w:tblpXSpec="center" w:tblpY="178"/>
        <w:tblOverlap w:val="never"/>
        <w:tblW w:w="10371" w:type="dxa"/>
        <w:tblInd w:w="0" w:type="dxa"/>
        <w:tblLayout w:type="fixed"/>
        <w:tblCellMar>
          <w:top w:w="0" w:type="dxa"/>
          <w:left w:w="0" w:type="dxa"/>
          <w:bottom w:w="0" w:type="dxa"/>
          <w:right w:w="0" w:type="dxa"/>
        </w:tblCellMar>
      </w:tblPr>
      <w:tblGrid>
        <w:gridCol w:w="801"/>
        <w:gridCol w:w="1367"/>
        <w:gridCol w:w="1025"/>
        <w:gridCol w:w="2392"/>
        <w:gridCol w:w="2394"/>
        <w:gridCol w:w="2392"/>
      </w:tblGrid>
      <w:tr w14:paraId="61702E8D">
        <w:tblPrEx>
          <w:tblCellMar>
            <w:top w:w="0" w:type="dxa"/>
            <w:left w:w="0" w:type="dxa"/>
            <w:bottom w:w="0" w:type="dxa"/>
            <w:right w:w="0" w:type="dxa"/>
          </w:tblCellMar>
        </w:tblPrEx>
        <w:trPr>
          <w:trHeight w:val="1034" w:hRule="atLeast"/>
        </w:trPr>
        <w:tc>
          <w:tcPr>
            <w:tcW w:w="10371" w:type="dxa"/>
            <w:gridSpan w:val="6"/>
            <w:tcMar>
              <w:top w:w="15" w:type="dxa"/>
              <w:left w:w="15" w:type="dxa"/>
              <w:bottom w:w="0" w:type="dxa"/>
              <w:right w:w="15" w:type="dxa"/>
            </w:tcMar>
            <w:vAlign w:val="center"/>
          </w:tcPr>
          <w:p w14:paraId="037A2432">
            <w:pPr>
              <w:widowControl/>
              <w:jc w:val="center"/>
              <w:textAlignment w:val="center"/>
              <w:rPr>
                <w:rFonts w:ascii="方正小标宋简体" w:eastAsia="方正小标宋简体" w:cs="宋体"/>
                <w:sz w:val="44"/>
                <w:szCs w:val="44"/>
              </w:rPr>
            </w:pPr>
            <w:r>
              <w:rPr>
                <w:rFonts w:hint="eastAsia" w:ascii="方正小标宋简体" w:hAnsi="黑体" w:eastAsia="方正小标宋简体" w:cs="宋体"/>
                <w:bCs/>
                <w:kern w:val="0"/>
                <w:sz w:val="44"/>
                <w:szCs w:val="44"/>
              </w:rPr>
              <w:t>项目支出绩效目标完成情况表</w:t>
            </w:r>
            <w:r>
              <w:rPr>
                <w:rFonts w:hint="eastAsia" w:ascii="方正小标宋简体" w:eastAsia="方正小标宋简体" w:cs="宋体"/>
                <w:b/>
                <w:bCs/>
                <w:kern w:val="0"/>
                <w:sz w:val="44"/>
                <w:szCs w:val="44"/>
              </w:rPr>
              <w:br w:type="textWrapping"/>
            </w:r>
            <w:r>
              <w:rPr>
                <w:rFonts w:hint="eastAsia" w:ascii="方正小标宋简体" w:hAnsi="宋体" w:eastAsia="方正小标宋简体" w:cs="宋体"/>
                <w:kern w:val="0"/>
                <w:sz w:val="44"/>
                <w:szCs w:val="44"/>
              </w:rPr>
              <w:t>(2018 年度)</w:t>
            </w:r>
          </w:p>
        </w:tc>
      </w:tr>
      <w:tr w14:paraId="7403F6D6">
        <w:tblPrEx>
          <w:tblCellMar>
            <w:top w:w="0" w:type="dxa"/>
            <w:left w:w="0" w:type="dxa"/>
            <w:bottom w:w="0" w:type="dxa"/>
            <w:right w:w="0" w:type="dxa"/>
          </w:tblCellMar>
        </w:tblPrEx>
        <w:trPr>
          <w:trHeight w:val="276" w:hRule="atLeast"/>
        </w:trPr>
        <w:tc>
          <w:tcPr>
            <w:tcW w:w="319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6B7603">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708FC9">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互联网+政务服务</w:t>
            </w:r>
          </w:p>
        </w:tc>
      </w:tr>
      <w:tr w14:paraId="44B9E3E3">
        <w:tblPrEx>
          <w:tblCellMar>
            <w:top w:w="0" w:type="dxa"/>
            <w:left w:w="0" w:type="dxa"/>
            <w:bottom w:w="0" w:type="dxa"/>
            <w:right w:w="0" w:type="dxa"/>
          </w:tblCellMar>
        </w:tblPrEx>
        <w:trPr>
          <w:trHeight w:val="276" w:hRule="atLeast"/>
        </w:trPr>
        <w:tc>
          <w:tcPr>
            <w:tcW w:w="319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BBF9F7">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9F3A55">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遂宁市不动产登记中心</w:t>
            </w:r>
          </w:p>
        </w:tc>
      </w:tr>
      <w:tr w14:paraId="03FE2F87">
        <w:tblPrEx>
          <w:tblCellMar>
            <w:top w:w="0" w:type="dxa"/>
            <w:left w:w="0" w:type="dxa"/>
            <w:bottom w:w="0" w:type="dxa"/>
            <w:right w:w="0" w:type="dxa"/>
          </w:tblCellMar>
        </w:tblPrEx>
        <w:trPr>
          <w:trHeight w:val="276" w:hRule="atLeast"/>
        </w:trPr>
        <w:tc>
          <w:tcPr>
            <w:tcW w:w="80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8E6455">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预算执行情况</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万元</w:t>
            </w:r>
            <w:r>
              <w:rPr>
                <w:rFonts w:cs="宋体" w:asciiTheme="minorEastAsia" w:hAnsiTheme="minorEastAsia" w:eastAsiaTheme="minorEastAsia"/>
                <w:kern w:val="0"/>
                <w:szCs w:val="21"/>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87D2FA">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预算数</w:t>
            </w:r>
            <w:r>
              <w:rPr>
                <w:rFonts w:cs="宋体" w:asciiTheme="minorEastAsia" w:hAnsiTheme="minorEastAsia" w:eastAsiaTheme="minorEastAsia"/>
                <w:kern w:val="0"/>
                <w:szCs w:val="21"/>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6C22AC">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20.00万元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5679DC">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执行数</w:t>
            </w:r>
            <w:r>
              <w:rPr>
                <w:rFonts w:cs="宋体" w:asciiTheme="minorEastAsia" w:hAnsiTheme="minorEastAsia" w:eastAsiaTheme="minorEastAsia"/>
                <w:kern w:val="0"/>
                <w:szCs w:val="21"/>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A7C2AB">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17.54万元</w:t>
            </w:r>
          </w:p>
        </w:tc>
      </w:tr>
      <w:tr w14:paraId="2B44A52B">
        <w:tblPrEx>
          <w:tblCellMar>
            <w:top w:w="0" w:type="dxa"/>
            <w:left w:w="0" w:type="dxa"/>
            <w:bottom w:w="0" w:type="dxa"/>
            <w:right w:w="0" w:type="dxa"/>
          </w:tblCellMar>
        </w:tblPrEx>
        <w:trPr>
          <w:trHeight w:val="276"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2A2B5624">
            <w:pPr>
              <w:widowControl/>
              <w:jc w:val="left"/>
              <w:rPr>
                <w:rFonts w:cs="宋体" w:asciiTheme="minorEastAsia" w:hAnsiTheme="minorEastAsia" w:eastAsiaTheme="minorEastAsia"/>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01056C">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其中</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财政拨款</w:t>
            </w:r>
            <w:r>
              <w:rPr>
                <w:rFonts w:cs="宋体" w:asciiTheme="minorEastAsia" w:hAnsiTheme="minorEastAsia" w:eastAsiaTheme="minorEastAsia"/>
                <w:kern w:val="0"/>
                <w:szCs w:val="21"/>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17025D">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20.00万元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A61EF1">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其中</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财政拨款</w:t>
            </w:r>
            <w:r>
              <w:rPr>
                <w:rFonts w:cs="宋体" w:asciiTheme="minorEastAsia" w:hAnsiTheme="minorEastAsia" w:eastAsiaTheme="minorEastAsia"/>
                <w:kern w:val="0"/>
                <w:szCs w:val="21"/>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F3BFEF">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17.54万元</w:t>
            </w:r>
          </w:p>
        </w:tc>
      </w:tr>
      <w:tr w14:paraId="20A1F4FC">
        <w:tblPrEx>
          <w:tblCellMar>
            <w:top w:w="0" w:type="dxa"/>
            <w:left w:w="0" w:type="dxa"/>
            <w:bottom w:w="0" w:type="dxa"/>
            <w:right w:w="0" w:type="dxa"/>
          </w:tblCellMar>
        </w:tblPrEx>
        <w:trPr>
          <w:trHeight w:val="763"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0A0A2037">
            <w:pPr>
              <w:widowControl/>
              <w:jc w:val="left"/>
              <w:rPr>
                <w:rFonts w:cs="宋体" w:asciiTheme="minorEastAsia" w:hAnsiTheme="minorEastAsia" w:eastAsiaTheme="minorEastAsia"/>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8CA430">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其它资金</w:t>
            </w:r>
            <w:r>
              <w:rPr>
                <w:rFonts w:cs="宋体" w:asciiTheme="minorEastAsia" w:hAnsiTheme="minorEastAsia" w:eastAsiaTheme="minorEastAsia"/>
                <w:kern w:val="0"/>
                <w:szCs w:val="21"/>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DCCB8A">
            <w:pPr>
              <w:widowControl/>
              <w:jc w:val="center"/>
              <w:textAlignment w:val="center"/>
              <w:rPr>
                <w:rFonts w:cs="宋体" w:asciiTheme="minorEastAsia" w:hAnsiTheme="minorEastAsia" w:eastAsiaTheme="minorEastAsia"/>
                <w:szCs w:val="21"/>
              </w:rPr>
            </w:pPr>
            <w:r>
              <w:rPr>
                <w:rFonts w:cs="宋体" w:asciiTheme="minorEastAsia" w:hAnsiTheme="minorEastAsia" w:eastAsiaTheme="minorEastAsia"/>
                <w:kern w:val="0"/>
                <w:szCs w:val="21"/>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7BEDC0">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其它资金</w:t>
            </w:r>
            <w:r>
              <w:rPr>
                <w:rFonts w:cs="宋体" w:asciiTheme="minorEastAsia" w:hAnsiTheme="minorEastAsia" w:eastAsiaTheme="minorEastAsia"/>
                <w:kern w:val="0"/>
                <w:szCs w:val="21"/>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71817A">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0</w:t>
            </w:r>
          </w:p>
        </w:tc>
      </w:tr>
      <w:tr w14:paraId="104B7D0D">
        <w:tblPrEx>
          <w:tblCellMar>
            <w:top w:w="0" w:type="dxa"/>
            <w:left w:w="0" w:type="dxa"/>
            <w:bottom w:w="0" w:type="dxa"/>
            <w:right w:w="0" w:type="dxa"/>
          </w:tblCellMar>
        </w:tblPrEx>
        <w:trPr>
          <w:trHeight w:val="276" w:hRule="atLeast"/>
        </w:trPr>
        <w:tc>
          <w:tcPr>
            <w:tcW w:w="80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EB2377">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2E4671">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6505F4">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实际完成目标</w:t>
            </w:r>
          </w:p>
        </w:tc>
      </w:tr>
      <w:tr w14:paraId="23A1523B">
        <w:tblPrEx>
          <w:tblCellMar>
            <w:top w:w="0" w:type="dxa"/>
            <w:left w:w="0" w:type="dxa"/>
            <w:bottom w:w="0" w:type="dxa"/>
            <w:right w:w="0" w:type="dxa"/>
          </w:tblCellMar>
        </w:tblPrEx>
        <w:trPr>
          <w:trHeight w:val="864"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4D4B2FAF">
            <w:pPr>
              <w:widowControl/>
              <w:jc w:val="left"/>
              <w:rPr>
                <w:rFonts w:cs="宋体" w:asciiTheme="minorEastAsia" w:hAnsiTheme="minorEastAsia" w:eastAsiaTheme="minorEastAsia"/>
                <w:szCs w:val="21"/>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86F92E">
            <w:pPr>
              <w:widowControl/>
              <w:jc w:val="center"/>
              <w:textAlignment w:val="center"/>
              <w:rPr>
                <w:rFonts w:cs="宋体" w:asciiTheme="minorEastAsia" w:hAnsiTheme="minorEastAsia" w:eastAsiaTheme="minorEastAsia"/>
                <w:szCs w:val="21"/>
              </w:rPr>
            </w:pPr>
            <w:r>
              <w:rPr>
                <w:rFonts w:hint="eastAsia" w:cs="仿宋_GB2312" w:asciiTheme="minorEastAsia" w:hAnsiTheme="minorEastAsia" w:eastAsiaTheme="minorEastAsia"/>
                <w:szCs w:val="21"/>
              </w:rPr>
              <w:t>保证不动产登记专网的正常运行，保证窗口网络覆盖。</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526D86">
            <w:pPr>
              <w:widowControl/>
              <w:jc w:val="center"/>
              <w:textAlignment w:val="center"/>
              <w:rPr>
                <w:rFonts w:cs="宋体" w:asciiTheme="minorEastAsia" w:hAnsiTheme="minorEastAsia" w:eastAsiaTheme="minorEastAsia"/>
                <w:szCs w:val="21"/>
              </w:rPr>
            </w:pPr>
            <w:r>
              <w:rPr>
                <w:rFonts w:hint="eastAsia" w:cs="仿宋_GB2312" w:asciiTheme="minorEastAsia" w:hAnsiTheme="minorEastAsia" w:eastAsiaTheme="minorEastAsia"/>
                <w:szCs w:val="21"/>
              </w:rPr>
              <w:t>保证不动产登记专网的正常运行，保证窗口网络覆盖。</w:t>
            </w:r>
          </w:p>
        </w:tc>
      </w:tr>
      <w:tr w14:paraId="1A6A752A">
        <w:tblPrEx>
          <w:tblCellMar>
            <w:top w:w="0" w:type="dxa"/>
            <w:left w:w="0" w:type="dxa"/>
            <w:bottom w:w="0" w:type="dxa"/>
            <w:right w:w="0" w:type="dxa"/>
          </w:tblCellMar>
        </w:tblPrEx>
        <w:trPr>
          <w:trHeight w:val="1042" w:hRule="atLeast"/>
        </w:trPr>
        <w:tc>
          <w:tcPr>
            <w:tcW w:w="80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E64347">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9D08A9">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555A1B">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C54828">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FF0A0E">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预期指标值</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包含数字及文字描述</w:t>
            </w:r>
            <w:r>
              <w:rPr>
                <w:rFonts w:cs="宋体" w:asciiTheme="minorEastAsia" w:hAnsiTheme="minorEastAsia" w:eastAsiaTheme="minorEastAsia"/>
                <w:kern w:val="0"/>
                <w:szCs w:val="21"/>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5FF71D">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实际完成指标值</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包含数字及文字描述</w:t>
            </w:r>
            <w:r>
              <w:rPr>
                <w:rFonts w:cs="宋体" w:asciiTheme="minorEastAsia" w:hAnsiTheme="minorEastAsia" w:eastAsiaTheme="minorEastAsia"/>
                <w:kern w:val="0"/>
                <w:szCs w:val="21"/>
              </w:rPr>
              <w:t>)</w:t>
            </w:r>
          </w:p>
        </w:tc>
      </w:tr>
      <w:tr w14:paraId="6CFC71F7">
        <w:tblPrEx>
          <w:tblCellMar>
            <w:top w:w="0" w:type="dxa"/>
            <w:left w:w="0" w:type="dxa"/>
            <w:bottom w:w="0" w:type="dxa"/>
            <w:right w:w="0" w:type="dxa"/>
          </w:tblCellMar>
        </w:tblPrEx>
        <w:trPr>
          <w:trHeight w:val="749"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7A43B27C">
            <w:pPr>
              <w:widowControl/>
              <w:jc w:val="left"/>
              <w:rPr>
                <w:rFonts w:cs="宋体" w:asciiTheme="minorEastAsia" w:hAnsiTheme="minorEastAsia" w:eastAsiaTheme="minorEastAsia"/>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777AB5">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4B9741">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6B7907">
            <w:pPr>
              <w:widowControl/>
              <w:jc w:val="center"/>
              <w:textAlignment w:val="center"/>
              <w:rPr>
                <w:rFonts w:cs="宋体" w:asciiTheme="minorEastAsia" w:hAnsiTheme="minorEastAsia" w:eastAsiaTheme="minorEastAsia"/>
                <w:szCs w:val="21"/>
              </w:rPr>
            </w:pPr>
            <w:r>
              <w:rPr>
                <w:rFonts w:hint="eastAsia" w:cs="仿宋_GB2312" w:asciiTheme="minorEastAsia" w:hAnsiTheme="minorEastAsia" w:eastAsiaTheme="minorEastAsia"/>
                <w:szCs w:val="21"/>
              </w:rPr>
              <w:t>5条光纤专网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97CDAD">
            <w:pPr>
              <w:widowControl/>
              <w:jc w:val="center"/>
              <w:textAlignment w:val="center"/>
              <w:rPr>
                <w:rFonts w:cs="宋体" w:asciiTheme="minorEastAsia" w:hAnsiTheme="minorEastAsia" w:eastAsiaTheme="minorEastAsia"/>
                <w:szCs w:val="21"/>
              </w:rPr>
            </w:pPr>
            <w:r>
              <w:rPr>
                <w:rFonts w:hint="eastAsia" w:cs="仿宋_GB2312" w:asciiTheme="minorEastAsia" w:hAnsiTheme="minorEastAsia" w:eastAsiaTheme="minorEastAsia"/>
                <w:szCs w:val="21"/>
              </w:rPr>
              <w:t>5条光纤专网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2B84D8">
            <w:pPr>
              <w:widowControl/>
              <w:jc w:val="center"/>
              <w:textAlignment w:val="center"/>
              <w:rPr>
                <w:rFonts w:cs="宋体" w:asciiTheme="minorEastAsia" w:hAnsiTheme="minorEastAsia" w:eastAsiaTheme="minorEastAsia"/>
                <w:szCs w:val="21"/>
              </w:rPr>
            </w:pPr>
            <w:r>
              <w:rPr>
                <w:rFonts w:hint="eastAsia" w:cs="仿宋_GB2312" w:asciiTheme="minorEastAsia" w:hAnsiTheme="minorEastAsia" w:eastAsiaTheme="minorEastAsia"/>
                <w:szCs w:val="21"/>
              </w:rPr>
              <w:t>5条光纤专网</w:t>
            </w:r>
          </w:p>
        </w:tc>
      </w:tr>
      <w:tr w14:paraId="1F0535A2">
        <w:tblPrEx>
          <w:tblCellMar>
            <w:top w:w="0" w:type="dxa"/>
            <w:left w:w="0" w:type="dxa"/>
            <w:bottom w:w="0" w:type="dxa"/>
            <w:right w:w="0" w:type="dxa"/>
          </w:tblCellMar>
        </w:tblPrEx>
        <w:trPr>
          <w:trHeight w:val="1297"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328CFA2D">
            <w:pPr>
              <w:widowControl/>
              <w:jc w:val="left"/>
              <w:rPr>
                <w:rFonts w:cs="宋体" w:asciiTheme="minorEastAsia" w:hAnsiTheme="minorEastAsia" w:eastAsiaTheme="minorEastAsia"/>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5445F2">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2F328B">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时效性指标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0DF9D3">
            <w:pPr>
              <w:widowControl/>
              <w:jc w:val="center"/>
              <w:textAlignment w:val="center"/>
              <w:rPr>
                <w:rFonts w:cs="宋体" w:asciiTheme="minorEastAsia" w:hAnsiTheme="minorEastAsia" w:eastAsiaTheme="minorEastAsia"/>
                <w:szCs w:val="21"/>
              </w:rPr>
            </w:pPr>
            <w:r>
              <w:rPr>
                <w:rFonts w:hint="eastAsia" w:cs="仿宋_GB2312" w:asciiTheme="minorEastAsia" w:hAnsiTheme="minorEastAsia" w:eastAsiaTheme="minorEastAsia"/>
                <w:szCs w:val="21"/>
              </w:rPr>
              <w:t>群众自主查询</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929E71">
            <w:pPr>
              <w:rPr>
                <w:rFonts w:cs="宋体"/>
              </w:rPr>
            </w:pPr>
            <w:r>
              <w:rPr>
                <w:rFonts w:hint="eastAsia"/>
              </w:rPr>
              <w:t>方便群众在市政务服务大厅、档案科、河东分中心、经开分中心保证办证窗口及查询窗口网络全覆盖，满足老百姓自主查询档案信息、办证进度、抵押情况等信息。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4D7F54">
            <w:pPr>
              <w:rPr>
                <w:rFonts w:cs="宋体"/>
              </w:rPr>
            </w:pPr>
            <w:r>
              <w:rPr>
                <w:rFonts w:hint="eastAsia"/>
              </w:rPr>
              <w:t>方便群众在市政务服务大厅、档案科、河东分中心、经开分中心保证办证窗口及查询窗口网络全覆盖，满足老百姓自主查询档案信息、办证进度、抵押情况等信息。</w:t>
            </w:r>
          </w:p>
        </w:tc>
      </w:tr>
      <w:tr w14:paraId="2758404B">
        <w:tblPrEx>
          <w:tblCellMar>
            <w:top w:w="0" w:type="dxa"/>
            <w:left w:w="0" w:type="dxa"/>
            <w:bottom w:w="0" w:type="dxa"/>
            <w:right w:w="0" w:type="dxa"/>
          </w:tblCellMar>
        </w:tblPrEx>
        <w:trPr>
          <w:trHeight w:val="1042"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4AC67564">
            <w:pPr>
              <w:widowControl/>
              <w:jc w:val="left"/>
              <w:rPr>
                <w:rFonts w:cs="宋体" w:asciiTheme="minorEastAsia" w:hAnsiTheme="minorEastAsia" w:eastAsiaTheme="minorEastAsia"/>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802436">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6E6E38">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66515E">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营造不动产登记良好氛围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1E8FCF">
            <w:pPr>
              <w:rPr>
                <w:rFonts w:cs="宋体"/>
              </w:rPr>
            </w:pPr>
            <w:r>
              <w:rPr>
                <w:rFonts w:hint="eastAsia" w:cs="楷体"/>
                <w:bCs/>
              </w:rPr>
              <w:t>不动产登记实施“一窗办理”、 实现群众办理不动产登记“最多跑一次”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F21C37">
            <w:pPr>
              <w:rPr>
                <w:rFonts w:cs="宋体"/>
              </w:rPr>
            </w:pPr>
            <w:r>
              <w:rPr>
                <w:rFonts w:hint="eastAsia" w:cs="楷体"/>
                <w:bCs/>
              </w:rPr>
              <w:t>不动产登记实施“一窗办理”、 实现群众办理不动产登记“最多跑一次”压缩不动产登记服务时限，服务效率全省领先</w:t>
            </w:r>
          </w:p>
        </w:tc>
      </w:tr>
      <w:tr w14:paraId="0CECEA75">
        <w:tblPrEx>
          <w:tblCellMar>
            <w:top w:w="0" w:type="dxa"/>
            <w:left w:w="0" w:type="dxa"/>
            <w:bottom w:w="0" w:type="dxa"/>
            <w:right w:w="0" w:type="dxa"/>
          </w:tblCellMar>
        </w:tblPrEx>
        <w:trPr>
          <w:trHeight w:val="1042" w:hRule="atLeast"/>
        </w:trPr>
        <w:tc>
          <w:tcPr>
            <w:tcW w:w="801" w:type="dxa"/>
            <w:vMerge w:val="continue"/>
            <w:tcBorders>
              <w:top w:val="single" w:color="000000" w:sz="4" w:space="0"/>
              <w:left w:val="single" w:color="000000" w:sz="4" w:space="0"/>
              <w:bottom w:val="single" w:color="000000" w:sz="4" w:space="0"/>
              <w:right w:val="single" w:color="000000" w:sz="4" w:space="0"/>
            </w:tcBorders>
            <w:vAlign w:val="center"/>
          </w:tcPr>
          <w:p w14:paraId="67CE6CDF">
            <w:pPr>
              <w:widowControl/>
              <w:jc w:val="left"/>
              <w:rPr>
                <w:rFonts w:cs="宋体" w:asciiTheme="minorEastAsia" w:hAnsiTheme="minorEastAsia" w:eastAsiaTheme="minorEastAsia"/>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B30678">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3D0992">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B6D8B7">
            <w:pPr>
              <w:widowControl/>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CF314F">
            <w:pPr>
              <w:rPr>
                <w:rFonts w:cs="宋体"/>
              </w:rPr>
            </w:pPr>
            <w:r>
              <w:rPr>
                <w:rFonts w:hint="eastAsia" w:cs="宋体"/>
              </w:rPr>
              <w:t>不动产登记服务受到群众</w:t>
            </w:r>
            <w:r>
              <w:rPr>
                <w:rFonts w:hint="eastAsia" w:cs="楷体"/>
                <w:bCs/>
              </w:rPr>
              <w:t>一致好评，</w:t>
            </w:r>
            <w:r>
              <w:rPr>
                <w:rFonts w:hint="eastAsia" w:cs="宋体"/>
              </w:rPr>
              <w:t>群众满意度95%以上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3A06A3">
            <w:pPr>
              <w:rPr>
                <w:rFonts w:cs="宋体"/>
              </w:rPr>
            </w:pPr>
            <w:r>
              <w:rPr>
                <w:rFonts w:hint="eastAsia" w:cs="宋体"/>
              </w:rPr>
              <w:t>不动产登记服务受到群众</w:t>
            </w:r>
            <w:r>
              <w:rPr>
                <w:rFonts w:hint="eastAsia" w:cs="楷体"/>
                <w:bCs/>
              </w:rPr>
              <w:t>一致好评，</w:t>
            </w:r>
            <w:r>
              <w:rPr>
                <w:rFonts w:hint="eastAsia" w:cs="宋体"/>
              </w:rPr>
              <w:t>群众满意度95%以上</w:t>
            </w:r>
          </w:p>
        </w:tc>
      </w:tr>
    </w:tbl>
    <w:p w14:paraId="41FE79B0">
      <w:pPr>
        <w:rPr>
          <w:rFonts w:ascii="Calibri" w:hAnsi="Calibri"/>
        </w:rPr>
      </w:pPr>
    </w:p>
    <w:p w14:paraId="7BC46616">
      <w:pPr>
        <w:spacing w:line="580" w:lineRule="exact"/>
        <w:rPr>
          <w:rFonts w:ascii="仿宋_GB2312" w:hAnsi="仿宋_GB2312" w:eastAsia="仿宋_GB2312" w:cs="仿宋_GB2312"/>
          <w:sz w:val="32"/>
          <w:szCs w:val="32"/>
        </w:rPr>
      </w:pPr>
    </w:p>
    <w:p w14:paraId="0FF91E22">
      <w:pPr>
        <w:numPr>
          <w:ilvl w:val="0"/>
          <w:numId w:val="5"/>
        </w:numPr>
        <w:spacing w:line="580" w:lineRule="exact"/>
        <w:ind w:firstLine="562" w:firstLineChars="200"/>
        <w:rPr>
          <w:rFonts w:ascii="仿宋" w:hAnsi="仿宋" w:eastAsia="仿宋" w:cs="仿宋_GB2312"/>
          <w:sz w:val="28"/>
          <w:szCs w:val="32"/>
        </w:rPr>
      </w:pPr>
      <w:r>
        <w:rPr>
          <w:rFonts w:hint="eastAsia" w:ascii="仿宋" w:hAnsi="仿宋" w:eastAsia="仿宋" w:cs="楷体_GB2312"/>
          <w:b/>
          <w:bCs/>
          <w:sz w:val="28"/>
          <w:szCs w:val="32"/>
        </w:rPr>
        <w:t>部门开展绩效评价结果。</w:t>
      </w:r>
    </w:p>
    <w:p w14:paraId="0D3C6A96">
      <w:pPr>
        <w:spacing w:line="580" w:lineRule="exact"/>
        <w:ind w:firstLine="560" w:firstLineChars="200"/>
        <w:rPr>
          <w:rFonts w:ascii="仿宋" w:hAnsi="仿宋" w:eastAsia="仿宋" w:cs="仿宋_GB2312"/>
          <w:sz w:val="28"/>
          <w:szCs w:val="32"/>
        </w:rPr>
      </w:pPr>
      <w:r>
        <w:rPr>
          <w:rFonts w:hint="eastAsia" w:ascii="仿宋" w:hAnsi="仿宋" w:eastAsia="仿宋" w:cs="仿宋_GB2312"/>
          <w:sz w:val="28"/>
          <w:szCs w:val="32"/>
        </w:rPr>
        <w:t>本部门按要求对</w:t>
      </w:r>
      <w:r>
        <w:rPr>
          <w:rFonts w:ascii="仿宋" w:hAnsi="仿宋" w:eastAsia="仿宋" w:cs="仿宋_GB2312"/>
          <w:sz w:val="28"/>
          <w:szCs w:val="32"/>
        </w:rPr>
        <w:t>2018</w:t>
      </w:r>
      <w:r>
        <w:rPr>
          <w:rFonts w:hint="eastAsia" w:ascii="仿宋" w:hAnsi="仿宋" w:eastAsia="仿宋" w:cs="仿宋_GB2312"/>
          <w:sz w:val="28"/>
          <w:szCs w:val="32"/>
        </w:rPr>
        <w:t>年部门整体支出绩效评价情况开展自评，《遂宁市国土资源局部门</w:t>
      </w:r>
      <w:r>
        <w:rPr>
          <w:rFonts w:ascii="仿宋" w:hAnsi="仿宋" w:eastAsia="仿宋" w:cs="仿宋_GB2312"/>
          <w:sz w:val="28"/>
          <w:szCs w:val="32"/>
        </w:rPr>
        <w:t>2018</w:t>
      </w:r>
      <w:r>
        <w:rPr>
          <w:rFonts w:hint="eastAsia" w:ascii="仿宋" w:hAnsi="仿宋" w:eastAsia="仿宋" w:cs="仿宋_GB2312"/>
          <w:sz w:val="28"/>
          <w:szCs w:val="32"/>
        </w:rPr>
        <w:t>年部门整体支出绩效评价报告》见附件。</w:t>
      </w:r>
    </w:p>
    <w:p w14:paraId="042ED034">
      <w:pPr>
        <w:spacing w:line="580" w:lineRule="exact"/>
        <w:jc w:val="center"/>
        <w:rPr>
          <w:rFonts w:ascii="仿宋" w:hAnsi="仿宋" w:eastAsia="仿宋" w:cs="方正小标宋简体"/>
          <w:sz w:val="40"/>
          <w:szCs w:val="44"/>
        </w:rPr>
      </w:pPr>
    </w:p>
    <w:p w14:paraId="02155367">
      <w:pPr>
        <w:spacing w:line="600" w:lineRule="exact"/>
        <w:ind w:firstLine="700" w:firstLineChars="250"/>
        <w:outlineLvl w:val="1"/>
        <w:rPr>
          <w:rStyle w:val="18"/>
          <w:rFonts w:ascii="仿宋" w:hAnsi="仿宋" w:eastAsia="仿宋"/>
          <w:sz w:val="28"/>
        </w:rPr>
      </w:pPr>
      <w:bookmarkStart w:id="54" w:name="_Toc15377221"/>
      <w:bookmarkStart w:id="55" w:name="_Toc15396612"/>
      <w:r>
        <w:rPr>
          <w:rFonts w:hint="eastAsia" w:ascii="仿宋" w:hAnsi="仿宋" w:eastAsia="仿宋"/>
          <w:sz w:val="28"/>
          <w:szCs w:val="32"/>
        </w:rPr>
        <w:t>十</w:t>
      </w:r>
      <w:r>
        <w:rPr>
          <w:rStyle w:val="18"/>
          <w:rFonts w:hint="eastAsia" w:ascii="仿宋" w:hAnsi="仿宋" w:eastAsia="仿宋"/>
          <w:sz w:val="28"/>
        </w:rPr>
        <w:t>一、</w:t>
      </w:r>
      <w:r>
        <w:rPr>
          <w:rStyle w:val="18"/>
          <w:rFonts w:hint="eastAsia" w:ascii="仿宋" w:hAnsi="仿宋" w:eastAsia="仿宋"/>
          <w:b w:val="0"/>
          <w:sz w:val="28"/>
        </w:rPr>
        <w:t>其他重要事项的情况说明</w:t>
      </w:r>
      <w:bookmarkEnd w:id="54"/>
      <w:bookmarkEnd w:id="55"/>
    </w:p>
    <w:p w14:paraId="66C138B2">
      <w:pPr>
        <w:spacing w:line="600" w:lineRule="exact"/>
        <w:ind w:firstLine="562" w:firstLineChars="200"/>
        <w:outlineLvl w:val="2"/>
        <w:rPr>
          <w:rFonts w:ascii="仿宋" w:hAnsi="仿宋" w:eastAsia="仿宋"/>
          <w:sz w:val="28"/>
          <w:szCs w:val="32"/>
        </w:rPr>
      </w:pPr>
      <w:bookmarkStart w:id="56" w:name="_Toc15377222"/>
      <w:r>
        <w:rPr>
          <w:rFonts w:hint="eastAsia" w:ascii="仿宋" w:hAnsi="仿宋" w:eastAsia="仿宋"/>
          <w:b/>
          <w:sz w:val="28"/>
          <w:szCs w:val="32"/>
        </w:rPr>
        <w:t>（一）机关运行经费支出情况</w:t>
      </w:r>
      <w:bookmarkEnd w:id="56"/>
    </w:p>
    <w:p w14:paraId="5E606040">
      <w:pPr>
        <w:spacing w:line="600" w:lineRule="exact"/>
        <w:ind w:firstLine="560" w:firstLineChars="200"/>
        <w:rPr>
          <w:rFonts w:ascii="仿宋" w:hAnsi="仿宋" w:eastAsia="仿宋"/>
          <w:sz w:val="28"/>
          <w:szCs w:val="32"/>
        </w:rPr>
      </w:pPr>
      <w:r>
        <w:rPr>
          <w:rFonts w:ascii="仿宋" w:hAnsi="仿宋" w:eastAsia="仿宋"/>
          <w:sz w:val="28"/>
          <w:szCs w:val="32"/>
        </w:rPr>
        <w:t>2018</w:t>
      </w:r>
      <w:r>
        <w:rPr>
          <w:rFonts w:hint="eastAsia" w:ascii="仿宋" w:hAnsi="仿宋" w:eastAsia="仿宋"/>
          <w:sz w:val="28"/>
          <w:szCs w:val="32"/>
        </w:rPr>
        <w:t>年，遂宁市国土资源局机关运行经费支出152.73万元，比</w:t>
      </w:r>
      <w:r>
        <w:rPr>
          <w:rFonts w:ascii="仿宋" w:hAnsi="仿宋" w:eastAsia="仿宋"/>
          <w:sz w:val="28"/>
          <w:szCs w:val="32"/>
        </w:rPr>
        <w:t>2017</w:t>
      </w:r>
      <w:r>
        <w:rPr>
          <w:rFonts w:hint="eastAsia" w:ascii="仿宋" w:hAnsi="仿宋" w:eastAsia="仿宋"/>
          <w:sz w:val="28"/>
          <w:szCs w:val="32"/>
        </w:rPr>
        <w:t>年减少108.61万元，下降41.56</w:t>
      </w:r>
      <w:r>
        <w:rPr>
          <w:rFonts w:ascii="仿宋" w:hAnsi="仿宋" w:eastAsia="仿宋"/>
          <w:sz w:val="28"/>
          <w:szCs w:val="32"/>
        </w:rPr>
        <w:t>%</w:t>
      </w:r>
      <w:r>
        <w:rPr>
          <w:rFonts w:hint="eastAsia" w:ascii="仿宋" w:hAnsi="仿宋" w:eastAsia="仿宋"/>
          <w:sz w:val="28"/>
          <w:szCs w:val="32"/>
        </w:rPr>
        <w:t>。主要原因是厉行节约。</w:t>
      </w:r>
    </w:p>
    <w:p w14:paraId="07408217">
      <w:pPr>
        <w:autoSpaceDE w:val="0"/>
        <w:autoSpaceDN w:val="0"/>
        <w:adjustRightInd w:val="0"/>
        <w:spacing w:line="600" w:lineRule="exact"/>
        <w:ind w:firstLine="562" w:firstLineChars="200"/>
        <w:jc w:val="left"/>
        <w:outlineLvl w:val="2"/>
        <w:rPr>
          <w:rFonts w:ascii="仿宋" w:hAnsi="仿宋" w:eastAsia="仿宋"/>
          <w:b/>
          <w:sz w:val="28"/>
          <w:szCs w:val="32"/>
        </w:rPr>
      </w:pPr>
      <w:bookmarkStart w:id="57" w:name="_Toc15377223"/>
      <w:r>
        <w:rPr>
          <w:rFonts w:hint="eastAsia" w:ascii="仿宋" w:hAnsi="仿宋" w:eastAsia="仿宋"/>
          <w:b/>
          <w:sz w:val="28"/>
          <w:szCs w:val="32"/>
        </w:rPr>
        <w:t>（二）政府采购支出情况</w:t>
      </w:r>
      <w:bookmarkEnd w:id="57"/>
    </w:p>
    <w:p w14:paraId="7E08734D">
      <w:pPr>
        <w:spacing w:line="600" w:lineRule="exact"/>
        <w:ind w:firstLine="560" w:firstLineChars="200"/>
        <w:rPr>
          <w:rFonts w:ascii="仿宋" w:hAnsi="仿宋" w:eastAsia="仿宋"/>
          <w:sz w:val="28"/>
          <w:szCs w:val="32"/>
        </w:rPr>
      </w:pPr>
      <w:r>
        <w:rPr>
          <w:rFonts w:ascii="仿宋" w:hAnsi="仿宋" w:eastAsia="仿宋"/>
          <w:sz w:val="28"/>
          <w:szCs w:val="32"/>
        </w:rPr>
        <w:t>2018</w:t>
      </w:r>
      <w:r>
        <w:rPr>
          <w:rFonts w:hint="eastAsia" w:ascii="仿宋" w:hAnsi="仿宋" w:eastAsia="仿宋"/>
          <w:sz w:val="28"/>
          <w:szCs w:val="32"/>
        </w:rPr>
        <w:t>年，遂宁市国土资源局政府采购支出总额448.17万元，其中：政府采购货物支出212.44万元、政府采购工程支出18.77万元、政府采购服务支出216.96万元。主要用于档案信息化建设、机房设备更新等。授予中小企业合同金额448.17万元，占政府采购支出总额的100</w:t>
      </w:r>
      <w:r>
        <w:rPr>
          <w:rFonts w:ascii="仿宋" w:hAnsi="仿宋" w:eastAsia="仿宋"/>
          <w:sz w:val="28"/>
          <w:szCs w:val="32"/>
        </w:rPr>
        <w:t>%</w:t>
      </w:r>
      <w:r>
        <w:rPr>
          <w:rFonts w:hint="eastAsia" w:ascii="仿宋" w:hAnsi="仿宋" w:eastAsia="仿宋"/>
          <w:sz w:val="28"/>
          <w:szCs w:val="32"/>
        </w:rPr>
        <w:t>，其中：授予小微企业合同金额92万元，占政府采购支出总额的20.53</w:t>
      </w:r>
      <w:r>
        <w:rPr>
          <w:rFonts w:ascii="仿宋" w:hAnsi="仿宋" w:eastAsia="仿宋"/>
          <w:sz w:val="28"/>
          <w:szCs w:val="32"/>
        </w:rPr>
        <w:t>%</w:t>
      </w:r>
      <w:r>
        <w:rPr>
          <w:rFonts w:hint="eastAsia" w:ascii="仿宋" w:hAnsi="仿宋" w:eastAsia="仿宋"/>
          <w:sz w:val="28"/>
          <w:szCs w:val="32"/>
        </w:rPr>
        <w:t>。</w:t>
      </w:r>
    </w:p>
    <w:p w14:paraId="2A2AAD25">
      <w:pPr>
        <w:autoSpaceDE w:val="0"/>
        <w:autoSpaceDN w:val="0"/>
        <w:adjustRightInd w:val="0"/>
        <w:spacing w:line="600" w:lineRule="exact"/>
        <w:ind w:firstLine="562" w:firstLineChars="200"/>
        <w:jc w:val="left"/>
        <w:outlineLvl w:val="2"/>
        <w:rPr>
          <w:rFonts w:ascii="仿宋" w:hAnsi="仿宋" w:eastAsia="仿宋"/>
          <w:b/>
          <w:sz w:val="28"/>
          <w:szCs w:val="32"/>
        </w:rPr>
      </w:pPr>
      <w:bookmarkStart w:id="58" w:name="_Toc15377224"/>
      <w:r>
        <w:rPr>
          <w:rFonts w:hint="eastAsia" w:ascii="仿宋" w:hAnsi="仿宋" w:eastAsia="仿宋"/>
          <w:b/>
          <w:sz w:val="28"/>
          <w:szCs w:val="32"/>
        </w:rPr>
        <w:t>（三）国有资产占有使用情况</w:t>
      </w:r>
      <w:bookmarkEnd w:id="58"/>
    </w:p>
    <w:p w14:paraId="2278A236">
      <w:pPr>
        <w:autoSpaceDE w:val="0"/>
        <w:autoSpaceDN w:val="0"/>
        <w:adjustRightInd w:val="0"/>
        <w:spacing w:line="600" w:lineRule="exact"/>
        <w:ind w:firstLine="560" w:firstLineChars="200"/>
        <w:jc w:val="left"/>
        <w:rPr>
          <w:rFonts w:ascii="仿宋" w:hAnsi="仿宋" w:eastAsia="仿宋"/>
          <w:sz w:val="28"/>
          <w:szCs w:val="32"/>
        </w:rPr>
      </w:pPr>
      <w:r>
        <w:rPr>
          <w:rFonts w:hint="eastAsia" w:ascii="仿宋" w:hAnsi="仿宋" w:eastAsia="仿宋"/>
          <w:sz w:val="28"/>
          <w:szCs w:val="32"/>
        </w:rPr>
        <w:t>截至</w:t>
      </w:r>
      <w:r>
        <w:rPr>
          <w:rFonts w:ascii="仿宋" w:hAnsi="仿宋" w:eastAsia="仿宋"/>
          <w:sz w:val="28"/>
          <w:szCs w:val="32"/>
        </w:rPr>
        <w:t>2018</w:t>
      </w:r>
      <w:r>
        <w:rPr>
          <w:rFonts w:hint="eastAsia" w:ascii="仿宋" w:hAnsi="仿宋" w:eastAsia="仿宋"/>
          <w:sz w:val="28"/>
          <w:szCs w:val="32"/>
        </w:rPr>
        <w:t>年</w:t>
      </w:r>
      <w:r>
        <w:rPr>
          <w:rFonts w:ascii="仿宋" w:hAnsi="仿宋" w:eastAsia="仿宋"/>
          <w:sz w:val="28"/>
          <w:szCs w:val="32"/>
        </w:rPr>
        <w:t>12</w:t>
      </w:r>
      <w:r>
        <w:rPr>
          <w:rFonts w:hint="eastAsia" w:ascii="仿宋" w:hAnsi="仿宋" w:eastAsia="仿宋"/>
          <w:sz w:val="28"/>
          <w:szCs w:val="32"/>
        </w:rPr>
        <w:t>月</w:t>
      </w:r>
      <w:r>
        <w:rPr>
          <w:rFonts w:ascii="仿宋" w:hAnsi="仿宋" w:eastAsia="仿宋"/>
          <w:sz w:val="28"/>
          <w:szCs w:val="32"/>
        </w:rPr>
        <w:t>31</w:t>
      </w:r>
      <w:r>
        <w:rPr>
          <w:rFonts w:hint="eastAsia" w:ascii="仿宋" w:hAnsi="仿宋" w:eastAsia="仿宋"/>
          <w:sz w:val="28"/>
          <w:szCs w:val="32"/>
        </w:rPr>
        <w:t>日，遂宁市国土资源局共有车辆3辆，其中：部级领导干部用车0辆、一般公务用车3辆、一般执法执勤用车0辆、特种专业技术用车0辆、其他用车0辆单价</w:t>
      </w:r>
      <w:r>
        <w:rPr>
          <w:rFonts w:ascii="仿宋" w:hAnsi="仿宋" w:eastAsia="仿宋"/>
          <w:sz w:val="28"/>
          <w:szCs w:val="32"/>
        </w:rPr>
        <w:t>50</w:t>
      </w:r>
      <w:r>
        <w:rPr>
          <w:rFonts w:hint="eastAsia" w:ascii="仿宋" w:hAnsi="仿宋" w:eastAsia="仿宋"/>
          <w:sz w:val="28"/>
          <w:szCs w:val="32"/>
        </w:rPr>
        <w:t>万元以上通用设备0台（套），单价</w:t>
      </w:r>
      <w:r>
        <w:rPr>
          <w:rFonts w:ascii="仿宋" w:hAnsi="仿宋" w:eastAsia="仿宋"/>
          <w:sz w:val="28"/>
          <w:szCs w:val="32"/>
        </w:rPr>
        <w:t>100</w:t>
      </w:r>
      <w:r>
        <w:rPr>
          <w:rFonts w:hint="eastAsia" w:ascii="仿宋" w:hAnsi="仿宋" w:eastAsia="仿宋"/>
          <w:sz w:val="28"/>
          <w:szCs w:val="32"/>
        </w:rPr>
        <w:t>万元以上专用设备0台（套）。</w:t>
      </w:r>
    </w:p>
    <w:p w14:paraId="24051396">
      <w:pPr>
        <w:spacing w:line="600" w:lineRule="atLeast"/>
        <w:ind w:firstLine="643" w:firstLineChars="200"/>
        <w:rPr>
          <w:rFonts w:ascii="仿宋_GB2312" w:eastAsia="仿宋_GB2312"/>
          <w:b/>
          <w:sz w:val="32"/>
          <w:szCs w:val="32"/>
        </w:rPr>
      </w:pPr>
    </w:p>
    <w:p w14:paraId="0DCC582C">
      <w:pPr>
        <w:widowControl/>
        <w:jc w:val="left"/>
        <w:rPr>
          <w:rFonts w:ascii="仿宋_GB2312" w:eastAsia="仿宋_GB2312"/>
          <w:b/>
          <w:sz w:val="32"/>
          <w:szCs w:val="32"/>
        </w:rPr>
      </w:pPr>
      <w:r>
        <w:rPr>
          <w:rFonts w:ascii="仿宋_GB2312" w:eastAsia="仿宋_GB2312"/>
          <w:b/>
          <w:sz w:val="32"/>
          <w:szCs w:val="32"/>
        </w:rPr>
        <w:br w:type="page"/>
      </w:r>
    </w:p>
    <w:p w14:paraId="479ACFA1">
      <w:pPr>
        <w:numPr>
          <w:ilvl w:val="0"/>
          <w:numId w:val="7"/>
        </w:numPr>
        <w:spacing w:line="600" w:lineRule="exact"/>
        <w:ind w:firstLine="663" w:firstLineChars="150"/>
        <w:jc w:val="center"/>
        <w:outlineLvl w:val="0"/>
        <w:rPr>
          <w:rStyle w:val="17"/>
          <w:rFonts w:ascii="黑体" w:hAnsi="黑体" w:eastAsia="黑体"/>
          <w:b w:val="0"/>
        </w:rPr>
      </w:pPr>
      <w:bookmarkStart w:id="59" w:name="_Toc15377225"/>
      <w:bookmarkStart w:id="60" w:name="_Toc15396613"/>
      <w:r>
        <w:rPr>
          <w:rFonts w:hint="eastAsia" w:ascii="黑体" w:hAnsi="黑体" w:eastAsia="黑体"/>
          <w:b/>
          <w:sz w:val="44"/>
          <w:szCs w:val="44"/>
        </w:rPr>
        <w:t>名</w:t>
      </w:r>
      <w:r>
        <w:rPr>
          <w:rStyle w:val="17"/>
          <w:rFonts w:hint="eastAsia" w:ascii="黑体" w:hAnsi="黑体" w:eastAsia="黑体"/>
          <w:b w:val="0"/>
        </w:rPr>
        <w:t>词解释</w:t>
      </w:r>
      <w:bookmarkEnd w:id="59"/>
      <w:bookmarkEnd w:id="60"/>
    </w:p>
    <w:p w14:paraId="749425E4">
      <w:pPr>
        <w:spacing w:line="600" w:lineRule="exact"/>
        <w:jc w:val="left"/>
        <w:rPr>
          <w:rFonts w:ascii="宋体"/>
          <w:b/>
          <w:sz w:val="44"/>
          <w:szCs w:val="44"/>
        </w:rPr>
      </w:pPr>
    </w:p>
    <w:p w14:paraId="0D948B19">
      <w:pPr>
        <w:ind w:firstLine="640" w:firstLineChars="200"/>
        <w:rPr>
          <w:rFonts w:ascii="仿宋" w:hAnsi="仿宋" w:eastAsia="仿宋"/>
          <w:sz w:val="32"/>
          <w:szCs w:val="30"/>
        </w:rPr>
      </w:pPr>
      <w:r>
        <w:rPr>
          <w:rStyle w:val="15"/>
          <w:rFonts w:ascii="仿宋" w:hAnsi="仿宋" w:eastAsia="仿宋"/>
          <w:sz w:val="32"/>
          <w:szCs w:val="30"/>
        </w:rPr>
        <w:t>1.财政拨款收入：指</w:t>
      </w:r>
      <w:r>
        <w:rPr>
          <w:rStyle w:val="15"/>
          <w:rFonts w:hint="eastAsia" w:ascii="仿宋" w:hAnsi="仿宋" w:eastAsia="仿宋"/>
          <w:sz w:val="32"/>
          <w:szCs w:val="30"/>
        </w:rPr>
        <w:t>市</w:t>
      </w:r>
      <w:r>
        <w:rPr>
          <w:rStyle w:val="15"/>
          <w:rFonts w:ascii="仿宋" w:hAnsi="仿宋" w:eastAsia="仿宋"/>
          <w:sz w:val="32"/>
          <w:szCs w:val="30"/>
        </w:rPr>
        <w:t>级财政当年拨付的资金。</w:t>
      </w:r>
      <w:r>
        <w:rPr>
          <w:rFonts w:ascii="仿宋" w:hAnsi="仿宋" w:eastAsia="仿宋"/>
          <w:sz w:val="32"/>
          <w:szCs w:val="30"/>
        </w:rPr>
        <w:br w:type="textWrapping"/>
      </w:r>
      <w:r>
        <w:rPr>
          <w:rStyle w:val="15"/>
          <w:rFonts w:ascii="仿宋" w:hAnsi="仿宋" w:eastAsia="仿宋"/>
          <w:sz w:val="32"/>
          <w:szCs w:val="30"/>
        </w:rPr>
        <w:t>　　2.事业收入：指事业单位开展专业业务活动及辅助活动所取得的收入。</w:t>
      </w:r>
      <w:r>
        <w:rPr>
          <w:rFonts w:ascii="仿宋" w:hAnsi="仿宋" w:eastAsia="仿宋"/>
          <w:sz w:val="32"/>
          <w:szCs w:val="30"/>
        </w:rPr>
        <w:br w:type="textWrapping"/>
      </w:r>
      <w:r>
        <w:rPr>
          <w:rStyle w:val="15"/>
          <w:rFonts w:ascii="仿宋" w:hAnsi="仿宋" w:eastAsia="仿宋"/>
          <w:sz w:val="32"/>
          <w:szCs w:val="30"/>
        </w:rPr>
        <w:t>　　3.经营收入：指事业单位在专业业务活动及其辅助活动之外开展非独立核算经营活动取得的收入。</w:t>
      </w:r>
      <w:r>
        <w:rPr>
          <w:rFonts w:ascii="仿宋" w:hAnsi="仿宋" w:eastAsia="仿宋"/>
          <w:sz w:val="32"/>
          <w:szCs w:val="30"/>
        </w:rPr>
        <w:br w:type="textWrapping"/>
      </w:r>
      <w:r>
        <w:rPr>
          <w:rStyle w:val="15"/>
          <w:rFonts w:ascii="仿宋" w:hAnsi="仿宋" w:eastAsia="仿宋"/>
          <w:sz w:val="32"/>
          <w:szCs w:val="30"/>
        </w:rPr>
        <w:t>　　4.其他收入：指除上述“财政拨款收入”、“事业收入”、“经营收入”等以外的收入。</w:t>
      </w:r>
      <w:r>
        <w:rPr>
          <w:rFonts w:ascii="仿宋" w:hAnsi="仿宋" w:eastAsia="仿宋"/>
          <w:sz w:val="32"/>
          <w:szCs w:val="30"/>
        </w:rPr>
        <w:br w:type="textWrapping"/>
      </w:r>
      <w:r>
        <w:rPr>
          <w:rStyle w:val="15"/>
          <w:rFonts w:ascii="仿宋" w:hAnsi="仿宋" w:eastAsia="仿宋"/>
          <w:sz w:val="32"/>
          <w:szCs w:val="30"/>
        </w:rPr>
        <w:t>　　5.年初结转和结余：指以前年度尚未完成、结转到本年按有关规定继续使用的资金。</w:t>
      </w:r>
    </w:p>
    <w:p w14:paraId="7133556B">
      <w:pPr>
        <w:ind w:firstLine="640" w:firstLineChars="200"/>
        <w:rPr>
          <w:rFonts w:ascii="仿宋" w:hAnsi="仿宋" w:eastAsia="仿宋"/>
          <w:sz w:val="32"/>
          <w:szCs w:val="30"/>
        </w:rPr>
      </w:pPr>
      <w:r>
        <w:rPr>
          <w:rStyle w:val="15"/>
          <w:rFonts w:hint="eastAsia" w:ascii="仿宋" w:hAnsi="仿宋" w:eastAsia="仿宋"/>
          <w:sz w:val="32"/>
          <w:szCs w:val="30"/>
        </w:rPr>
        <w:t>6</w:t>
      </w:r>
      <w:r>
        <w:rPr>
          <w:rStyle w:val="15"/>
          <w:rFonts w:ascii="仿宋" w:hAnsi="仿宋" w:eastAsia="仿宋"/>
          <w:sz w:val="32"/>
          <w:szCs w:val="30"/>
        </w:rPr>
        <w:t>.社会保障和就业（类）行政事业单位离退休（款）未归口管理的行政单位离退休（项）：指未实行归口管理的行政单位（包括实行公务员管理的事业单位）开支的离退休支出。</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7</w:t>
      </w:r>
      <w:r>
        <w:rPr>
          <w:rStyle w:val="15"/>
          <w:rFonts w:ascii="仿宋" w:hAnsi="仿宋" w:eastAsia="仿宋"/>
          <w:sz w:val="32"/>
          <w:szCs w:val="30"/>
        </w:rPr>
        <w:t>.社会保障和就业（类）抚恤（款）死亡抚恤（项）：指按规定用于烈士和牺牲、病故人员家属的一次性和定期抚恤金以及丧葬补助费。</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8</w:t>
      </w:r>
      <w:r>
        <w:rPr>
          <w:rStyle w:val="15"/>
          <w:rFonts w:ascii="仿宋" w:hAnsi="仿宋" w:eastAsia="仿宋"/>
          <w:sz w:val="32"/>
          <w:szCs w:val="30"/>
        </w:rPr>
        <w:t>.医疗卫生与计划生育（类）医疗保障（款）行政单位医疗（项）：指财政部门集中安排的行政单位基本医疗保险缴费经费，未参加医疗保险的行政单位的公费医疗经费，按国家规定享受离退休人员、红军老战士待遇人员的医疗经费。</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9</w:t>
      </w:r>
      <w:r>
        <w:rPr>
          <w:rStyle w:val="15"/>
          <w:rFonts w:ascii="仿宋" w:hAnsi="仿宋" w:eastAsia="仿宋"/>
          <w:sz w:val="32"/>
          <w:szCs w:val="30"/>
        </w:rPr>
        <w:t>.医疗卫生与计划生育（类）医疗保障（款）事业单位医疗（项）：指财政部门集中安排的事业单位基本医疗保险缴费经费，未参加医疗保险的事业单位的公费医疗经费，按国家规定享受离退休人员待遇人员的医疗经费。</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10</w:t>
      </w:r>
      <w:r>
        <w:rPr>
          <w:rStyle w:val="15"/>
          <w:rFonts w:ascii="仿宋" w:hAnsi="仿宋" w:eastAsia="仿宋"/>
          <w:sz w:val="32"/>
          <w:szCs w:val="30"/>
        </w:rPr>
        <w:t>.国土海洋气象等（类）国土资源事务（款）行政运行（项）：指国土资源管理行政单位的基本支出。</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11</w:t>
      </w:r>
      <w:r>
        <w:rPr>
          <w:rStyle w:val="15"/>
          <w:rFonts w:ascii="仿宋" w:hAnsi="仿宋" w:eastAsia="仿宋"/>
          <w:sz w:val="32"/>
          <w:szCs w:val="30"/>
        </w:rPr>
        <w:t>.国土海洋气象等（类）国土资源事务（款）一般行政管理事务（项）：指国土资源管理行政单位（包括实行公务员管理的事业单位）未单独设置项级科目的其他项目支出。</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12</w:t>
      </w:r>
      <w:r>
        <w:rPr>
          <w:rStyle w:val="15"/>
          <w:rFonts w:ascii="仿宋" w:hAnsi="仿宋" w:eastAsia="仿宋"/>
          <w:sz w:val="32"/>
          <w:szCs w:val="30"/>
        </w:rPr>
        <w:t>.国土海洋气象等（类）国土资源事务（款）土地资源利用与保护（项）：指国土资源部门土地利用监测、耕地保护、土地分等定级、土地评估等方面的支出。</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13</w:t>
      </w:r>
      <w:r>
        <w:rPr>
          <w:rStyle w:val="15"/>
          <w:rFonts w:ascii="仿宋" w:hAnsi="仿宋" w:eastAsia="仿宋"/>
          <w:sz w:val="32"/>
          <w:szCs w:val="30"/>
        </w:rPr>
        <w:t>.国土海洋气象等（类）国土资源事务（款）地质灾害防治（项）：指地质灾害防治项目支出。</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14</w:t>
      </w:r>
      <w:r>
        <w:rPr>
          <w:rStyle w:val="15"/>
          <w:rFonts w:ascii="仿宋" w:hAnsi="仿宋" w:eastAsia="仿宋"/>
          <w:sz w:val="32"/>
          <w:szCs w:val="30"/>
        </w:rPr>
        <w:t>.国土海洋气象等（类）国土资源事务（款）事业运行（项）：指国土资源事业单位基本支出。</w:t>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15</w:t>
      </w:r>
      <w:r>
        <w:rPr>
          <w:rStyle w:val="15"/>
          <w:rFonts w:ascii="仿宋" w:hAnsi="仿宋" w:eastAsia="仿宋"/>
          <w:sz w:val="32"/>
          <w:szCs w:val="30"/>
        </w:rPr>
        <w:t>.国土海洋气象等（类）国土资源事务（款）其他国土资源事务支出（项）：指国土资源事业单位其他支出。</w:t>
      </w:r>
      <w:r>
        <w:rPr>
          <w:rFonts w:ascii="仿宋" w:hAnsi="仿宋" w:eastAsia="仿宋"/>
          <w:sz w:val="32"/>
          <w:szCs w:val="30"/>
        </w:rPr>
        <w:br w:type="textWrapping"/>
      </w:r>
      <w:r>
        <w:rPr>
          <w:rFonts w:ascii="仿宋" w:hAnsi="仿宋" w:eastAsia="仿宋"/>
          <w:sz w:val="32"/>
          <w:szCs w:val="30"/>
        </w:rPr>
        <w:br w:type="textWrapping"/>
      </w:r>
      <w:r>
        <w:rPr>
          <w:rStyle w:val="15"/>
          <w:rFonts w:ascii="仿宋" w:hAnsi="仿宋" w:eastAsia="仿宋"/>
          <w:sz w:val="32"/>
          <w:szCs w:val="30"/>
        </w:rPr>
        <w:t>　　</w:t>
      </w:r>
      <w:r>
        <w:rPr>
          <w:rStyle w:val="15"/>
          <w:rFonts w:hint="eastAsia" w:ascii="仿宋" w:hAnsi="仿宋" w:eastAsia="仿宋"/>
          <w:sz w:val="32"/>
          <w:szCs w:val="30"/>
        </w:rPr>
        <w:t>16</w:t>
      </w:r>
      <w:r>
        <w:rPr>
          <w:rStyle w:val="15"/>
          <w:rFonts w:ascii="仿宋" w:hAnsi="仿宋" w:eastAsia="仿宋"/>
          <w:sz w:val="32"/>
          <w:szCs w:val="30"/>
        </w:rPr>
        <w:t>.住房保障支出（类）住房改革支出（款）住房公积金（项）：指行政事业单位按人力资源和社会保障部、财政部规定的基本工资和津贴补贴以及规定比例为职工缴纳的住房公积金。</w:t>
      </w:r>
    </w:p>
    <w:p w14:paraId="2F6C8D5C">
      <w:pPr>
        <w:ind w:firstLine="640" w:firstLineChars="200"/>
        <w:rPr>
          <w:rFonts w:ascii="仿宋" w:hAnsi="仿宋" w:eastAsia="仿宋"/>
          <w:sz w:val="32"/>
          <w:szCs w:val="30"/>
        </w:rPr>
      </w:pPr>
      <w:r>
        <w:rPr>
          <w:rFonts w:hint="eastAsia" w:ascii="仿宋" w:hAnsi="仿宋" w:eastAsia="仿宋"/>
          <w:sz w:val="32"/>
          <w:szCs w:val="30"/>
        </w:rPr>
        <w:t>17.基本支出：指为保障机构正常运转、完成日常工作任务而发生的人员支出和公用支出。</w:t>
      </w:r>
    </w:p>
    <w:p w14:paraId="276FBEF1">
      <w:pPr>
        <w:ind w:firstLine="640" w:firstLineChars="200"/>
        <w:rPr>
          <w:rFonts w:ascii="仿宋" w:hAnsi="仿宋" w:eastAsia="仿宋"/>
          <w:sz w:val="32"/>
          <w:szCs w:val="30"/>
        </w:rPr>
      </w:pPr>
      <w:r>
        <w:rPr>
          <w:rFonts w:hint="eastAsia" w:ascii="仿宋" w:hAnsi="仿宋" w:eastAsia="仿宋"/>
          <w:sz w:val="32"/>
          <w:szCs w:val="30"/>
        </w:rPr>
        <w:t xml:space="preserve">18.项目支出：指在基本支出之外为完成特定行政任务和事业发展目标所发生的支出。 </w:t>
      </w:r>
    </w:p>
    <w:p w14:paraId="378CDB3E">
      <w:pPr>
        <w:ind w:firstLine="640" w:firstLineChars="200"/>
        <w:rPr>
          <w:rFonts w:ascii="仿宋" w:hAnsi="仿宋" w:eastAsia="仿宋"/>
          <w:sz w:val="32"/>
          <w:szCs w:val="30"/>
        </w:rPr>
      </w:pPr>
      <w:r>
        <w:rPr>
          <w:rFonts w:hint="eastAsia" w:ascii="仿宋" w:hAnsi="仿宋" w:eastAsia="仿宋"/>
          <w:sz w:val="32"/>
          <w:szCs w:val="30"/>
        </w:rPr>
        <w:t>19.经营支出：指事业单位在专业业务活动及其辅助活动之外开展非独立核算经营活动发生的支出。</w:t>
      </w:r>
    </w:p>
    <w:p w14:paraId="684AC483">
      <w:pPr>
        <w:pStyle w:val="26"/>
        <w:ind w:firstLine="640" w:firstLineChars="200"/>
        <w:rPr>
          <w:rFonts w:hAnsi="仿宋"/>
          <w:color w:val="auto"/>
          <w:sz w:val="32"/>
          <w:szCs w:val="30"/>
        </w:rPr>
      </w:pPr>
      <w:r>
        <w:rPr>
          <w:rFonts w:hint="eastAsia" w:hAnsi="仿宋"/>
          <w:color w:val="auto"/>
          <w:sz w:val="32"/>
          <w:szCs w:val="30"/>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BED4FEC">
      <w:pPr>
        <w:pStyle w:val="26"/>
        <w:ind w:firstLine="640" w:firstLineChars="200"/>
        <w:rPr>
          <w:rFonts w:hAnsi="仿宋"/>
          <w:color w:val="auto"/>
          <w:sz w:val="30"/>
          <w:szCs w:val="30"/>
        </w:rPr>
      </w:pPr>
      <w:r>
        <w:rPr>
          <w:rFonts w:hint="eastAsia" w:hAnsi="仿宋"/>
          <w:color w:val="auto"/>
          <w:sz w:val="32"/>
          <w:szCs w:val="30"/>
        </w:rPr>
        <w:t>21.机关运行经费：为保障行政单位（含参照公务员法管理的事业单位）运行用 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F1F4E41">
      <w:pPr>
        <w:spacing w:line="600" w:lineRule="exact"/>
        <w:jc w:val="center"/>
        <w:outlineLvl w:val="0"/>
        <w:rPr>
          <w:rFonts w:ascii="仿宋_GB2312" w:eastAsia="仿宋_GB2312"/>
          <w:sz w:val="32"/>
          <w:szCs w:val="32"/>
        </w:rPr>
      </w:pPr>
      <w:bookmarkStart w:id="61" w:name="_Toc15396614"/>
      <w:bookmarkStart w:id="62" w:name="_Toc15377226"/>
    </w:p>
    <w:p w14:paraId="31F8E222">
      <w:pPr>
        <w:spacing w:line="600" w:lineRule="exact"/>
        <w:jc w:val="center"/>
        <w:outlineLvl w:val="0"/>
        <w:rPr>
          <w:rFonts w:ascii="仿宋_GB2312" w:eastAsia="仿宋_GB2312"/>
          <w:sz w:val="32"/>
          <w:szCs w:val="32"/>
        </w:rPr>
      </w:pPr>
    </w:p>
    <w:p w14:paraId="1A7A3A3E">
      <w:pPr>
        <w:spacing w:line="600" w:lineRule="exact"/>
        <w:outlineLvl w:val="0"/>
        <w:rPr>
          <w:rFonts w:ascii="仿宋_GB2312" w:eastAsia="仿宋_GB2312"/>
          <w:sz w:val="32"/>
          <w:szCs w:val="32"/>
        </w:rPr>
      </w:pPr>
    </w:p>
    <w:p w14:paraId="288EB602">
      <w:pPr>
        <w:spacing w:line="600" w:lineRule="exact"/>
        <w:jc w:val="center"/>
        <w:outlineLvl w:val="0"/>
        <w:rPr>
          <w:rStyle w:val="17"/>
          <w:rFonts w:ascii="黑体" w:hAnsi="黑体" w:eastAsia="黑体"/>
          <w:b w:val="0"/>
        </w:rPr>
      </w:pPr>
      <w:r>
        <w:rPr>
          <w:rFonts w:hint="eastAsia" w:ascii="黑体" w:hAnsi="黑体" w:eastAsia="黑体"/>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61"/>
    </w:p>
    <w:p w14:paraId="30458EA6">
      <w:pPr>
        <w:spacing w:line="600" w:lineRule="exact"/>
        <w:jc w:val="center"/>
        <w:outlineLvl w:val="0"/>
        <w:rPr>
          <w:rStyle w:val="17"/>
        </w:rPr>
      </w:pPr>
    </w:p>
    <w:p w14:paraId="1AF7FFBA">
      <w:pPr>
        <w:pStyle w:val="3"/>
        <w:rPr>
          <w:rStyle w:val="17"/>
          <w:rFonts w:ascii="仿宋" w:hAnsi="仿宋" w:eastAsia="仿宋"/>
          <w:b w:val="0"/>
          <w:bCs w:val="0"/>
          <w:sz w:val="32"/>
          <w:szCs w:val="32"/>
        </w:rPr>
      </w:pPr>
      <w:bookmarkStart w:id="63" w:name="_Toc15396615"/>
      <w:r>
        <w:rPr>
          <w:rStyle w:val="17"/>
          <w:rFonts w:hint="eastAsia" w:ascii="仿宋" w:hAnsi="仿宋" w:eastAsia="仿宋"/>
          <w:b w:val="0"/>
          <w:bCs w:val="0"/>
          <w:sz w:val="32"/>
          <w:szCs w:val="32"/>
        </w:rPr>
        <w:t>附件</w:t>
      </w:r>
      <w:r>
        <w:rPr>
          <w:rStyle w:val="17"/>
          <w:rFonts w:ascii="仿宋" w:hAnsi="仿宋" w:eastAsia="仿宋"/>
          <w:b w:val="0"/>
          <w:bCs w:val="0"/>
          <w:sz w:val="32"/>
          <w:szCs w:val="32"/>
        </w:rPr>
        <w:t>1</w:t>
      </w:r>
      <w:bookmarkEnd w:id="63"/>
    </w:p>
    <w:p w14:paraId="542D1541">
      <w:pPr>
        <w:spacing w:line="600" w:lineRule="exact"/>
        <w:jc w:val="center"/>
        <w:outlineLvl w:val="0"/>
        <w:rPr>
          <w:rFonts w:ascii="黑体" w:hAnsi="黑体" w:eastAsia="黑体" w:cs="方正小标宋简体"/>
          <w:sz w:val="36"/>
          <w:szCs w:val="36"/>
        </w:rPr>
      </w:pPr>
      <w:bookmarkStart w:id="64" w:name="_Toc15396616"/>
      <w:r>
        <w:rPr>
          <w:rFonts w:hint="eastAsia" w:ascii="黑体" w:hAnsi="黑体" w:eastAsia="黑体" w:cs="方正小标宋简体"/>
          <w:sz w:val="36"/>
          <w:szCs w:val="36"/>
        </w:rPr>
        <w:t>遂宁市国土资源局部门</w:t>
      </w: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64"/>
    </w:p>
    <w:p w14:paraId="297F91F3">
      <w:pPr>
        <w:spacing w:line="580" w:lineRule="exact"/>
        <w:ind w:firstLine="640" w:firstLineChars="200"/>
        <w:rPr>
          <w:rFonts w:ascii="黑体" w:hAnsi="黑体" w:eastAsia="黑体" w:cs="黑体"/>
          <w:sz w:val="32"/>
          <w:szCs w:val="32"/>
        </w:rPr>
      </w:pPr>
    </w:p>
    <w:p w14:paraId="7FF9E34E">
      <w:pPr>
        <w:jc w:val="center"/>
        <w:rPr>
          <w:rFonts w:eastAsia="黑体"/>
          <w:kern w:val="0"/>
          <w:sz w:val="24"/>
          <w:shd w:val="clear" w:color="auto" w:fill="FFFFFF"/>
        </w:rPr>
      </w:pPr>
      <w:r>
        <w:rPr>
          <w:rFonts w:hint="eastAsia" w:ascii="方正粗黑宋简体" w:hAnsi="方正粗黑宋简体" w:eastAsia="方正粗黑宋简体"/>
          <w:sz w:val="44"/>
          <w:szCs w:val="44"/>
          <w:shd w:val="clear" w:color="auto" w:fill="FFFFFF"/>
        </w:rPr>
        <w:t xml:space="preserve">  </w:t>
      </w:r>
    </w:p>
    <w:p w14:paraId="3F8B14BD">
      <w:pPr>
        <w:adjustRightInd w:val="0"/>
        <w:snapToGrid w:val="0"/>
        <w:spacing w:line="540" w:lineRule="exact"/>
        <w:ind w:firstLine="720"/>
        <w:jc w:val="left"/>
        <w:rPr>
          <w:rFonts w:ascii="仿宋" w:hAnsi="仿宋" w:eastAsia="仿宋"/>
          <w:b/>
          <w:kern w:val="0"/>
          <w:sz w:val="32"/>
          <w:szCs w:val="32"/>
          <w:shd w:val="clear" w:color="auto" w:fill="FFFFFF"/>
          <w:lang w:val="zh-CN"/>
        </w:rPr>
      </w:pPr>
      <w:r>
        <w:rPr>
          <w:rFonts w:hint="eastAsia" w:ascii="仿宋" w:hAnsi="仿宋" w:eastAsia="仿宋" w:cs="黑体"/>
          <w:b/>
          <w:kern w:val="0"/>
          <w:sz w:val="32"/>
          <w:szCs w:val="32"/>
          <w:shd w:val="clear" w:color="auto" w:fill="FFFFFF"/>
        </w:rPr>
        <w:t>一、</w:t>
      </w:r>
      <w:r>
        <w:rPr>
          <w:rFonts w:hint="eastAsia" w:ascii="仿宋" w:hAnsi="仿宋" w:eastAsia="仿宋" w:cs="黑体"/>
          <w:b/>
          <w:kern w:val="0"/>
          <w:sz w:val="32"/>
          <w:szCs w:val="32"/>
          <w:shd w:val="clear" w:color="auto" w:fill="FFFFFF"/>
          <w:lang w:val="zh-CN"/>
        </w:rPr>
        <w:t>部门（单位）概况</w:t>
      </w:r>
    </w:p>
    <w:p w14:paraId="02C0D6FC">
      <w:pPr>
        <w:adjustRightInd w:val="0"/>
        <w:snapToGrid w:val="0"/>
        <w:spacing w:line="540" w:lineRule="exact"/>
        <w:ind w:firstLine="720"/>
        <w:jc w:val="left"/>
        <w:rPr>
          <w:rFonts w:ascii="仿宋" w:hAnsi="仿宋" w:eastAsia="仿宋" w:cs="仿宋_GB2312"/>
          <w:b/>
          <w:kern w:val="0"/>
          <w:sz w:val="32"/>
          <w:szCs w:val="32"/>
          <w:shd w:val="clear" w:color="auto" w:fill="FFFFFF"/>
          <w:lang w:val="zh-CN"/>
        </w:rPr>
      </w:pPr>
      <w:r>
        <w:rPr>
          <w:rFonts w:hint="eastAsia" w:ascii="仿宋" w:hAnsi="仿宋" w:eastAsia="仿宋" w:cs="仿宋_GB2312"/>
          <w:b/>
          <w:kern w:val="0"/>
          <w:sz w:val="32"/>
          <w:szCs w:val="32"/>
          <w:shd w:val="clear" w:color="auto" w:fill="FFFFFF"/>
          <w:lang w:val="zh-CN"/>
        </w:rPr>
        <w:t>（一）机构组成</w:t>
      </w:r>
    </w:p>
    <w:p w14:paraId="0402D4FD">
      <w:pPr>
        <w:pStyle w:val="5"/>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cs="Arial"/>
          <w:sz w:val="32"/>
          <w:szCs w:val="32"/>
          <w:shd w:val="clear" w:color="auto" w:fill="FFFFFF"/>
        </w:rPr>
        <w:t>遂宁市</w:t>
      </w:r>
      <w:r>
        <w:rPr>
          <w:rFonts w:ascii="仿宋" w:hAnsi="仿宋" w:eastAsia="仿宋" w:cs="Arial"/>
          <w:sz w:val="32"/>
          <w:szCs w:val="32"/>
          <w:shd w:val="clear" w:color="auto" w:fill="FFFFFF"/>
        </w:rPr>
        <w:t>国土资源局下属二级预算单位</w:t>
      </w:r>
      <w:r>
        <w:rPr>
          <w:rFonts w:hint="eastAsia" w:ascii="仿宋" w:hAnsi="仿宋" w:eastAsia="仿宋" w:cs="Arial"/>
          <w:sz w:val="32"/>
          <w:szCs w:val="32"/>
          <w:shd w:val="clear" w:color="auto" w:fill="FFFFFF"/>
        </w:rPr>
        <w:t>共计</w:t>
      </w:r>
      <w:r>
        <w:rPr>
          <w:rFonts w:ascii="仿宋" w:hAnsi="仿宋" w:eastAsia="仿宋" w:cs="Arial"/>
          <w:sz w:val="32"/>
          <w:szCs w:val="32"/>
          <w:shd w:val="clear" w:color="auto" w:fill="FFFFFF"/>
        </w:rPr>
        <w:t>5个，其中行政单位1个，参照</w:t>
      </w:r>
      <w:r>
        <w:rPr>
          <w:rFonts w:hint="eastAsia" w:ascii="仿宋" w:hAnsi="仿宋" w:eastAsia="仿宋" w:cs="Arial"/>
          <w:sz w:val="32"/>
          <w:szCs w:val="32"/>
          <w:shd w:val="clear" w:color="auto" w:fill="FFFFFF"/>
        </w:rPr>
        <w:t>&lt;&lt;</w:t>
      </w:r>
      <w:r>
        <w:rPr>
          <w:rFonts w:ascii="仿宋" w:hAnsi="仿宋" w:eastAsia="仿宋" w:cs="Arial"/>
          <w:sz w:val="32"/>
          <w:szCs w:val="32"/>
          <w:shd w:val="clear" w:color="auto" w:fill="FFFFFF"/>
        </w:rPr>
        <w:t>公务员法</w:t>
      </w:r>
      <w:r>
        <w:rPr>
          <w:rFonts w:hint="eastAsia" w:ascii="仿宋" w:hAnsi="仿宋" w:eastAsia="仿宋" w:cs="Arial"/>
          <w:sz w:val="32"/>
          <w:szCs w:val="32"/>
          <w:shd w:val="clear" w:color="auto" w:fill="FFFFFF"/>
        </w:rPr>
        <w:t>&gt;&gt;</w:t>
      </w:r>
      <w:r>
        <w:rPr>
          <w:rFonts w:ascii="仿宋" w:hAnsi="仿宋" w:eastAsia="仿宋" w:cs="Arial"/>
          <w:sz w:val="32"/>
          <w:szCs w:val="32"/>
          <w:shd w:val="clear" w:color="auto" w:fill="FFFFFF"/>
        </w:rPr>
        <w:t>管理的事业单位0个，其他事业单位4个。</w:t>
      </w:r>
      <w:r>
        <w:rPr>
          <w:rFonts w:hint="eastAsia" w:ascii="仿宋" w:hAnsi="仿宋" w:eastAsia="仿宋" w:cs="Arial"/>
          <w:sz w:val="32"/>
          <w:szCs w:val="32"/>
          <w:shd w:val="clear" w:color="auto" w:fill="FFFFFF"/>
        </w:rPr>
        <w:t>分别为</w:t>
      </w:r>
      <w:r>
        <w:rPr>
          <w:rFonts w:ascii="仿宋" w:hAnsi="仿宋" w:eastAsia="仿宋" w:cs="Arial"/>
          <w:sz w:val="32"/>
          <w:szCs w:val="32"/>
          <w:shd w:val="clear" w:color="auto" w:fill="FFFFFF"/>
        </w:rPr>
        <w:t>：遂宁市国土资源局船山分局、遂宁市国土资源局河东分局、遂宁市国土资源局经开分局、遂宁市不动产登记中心、遂宁市土地储备中心。</w:t>
      </w:r>
    </w:p>
    <w:p w14:paraId="568035D5">
      <w:pPr>
        <w:adjustRightInd w:val="0"/>
        <w:snapToGrid w:val="0"/>
        <w:spacing w:line="540" w:lineRule="exact"/>
        <w:ind w:firstLine="720"/>
        <w:jc w:val="left"/>
        <w:rPr>
          <w:rFonts w:ascii="仿宋" w:hAnsi="仿宋" w:eastAsia="仿宋" w:cs="仿宋_GB2312"/>
          <w:b/>
          <w:kern w:val="0"/>
          <w:sz w:val="32"/>
          <w:szCs w:val="32"/>
          <w:shd w:val="clear" w:color="auto" w:fill="FFFFFF"/>
          <w:lang w:val="zh-CN"/>
        </w:rPr>
      </w:pPr>
      <w:r>
        <w:rPr>
          <w:rFonts w:hint="eastAsia" w:ascii="仿宋" w:hAnsi="仿宋" w:eastAsia="仿宋" w:cs="仿宋_GB2312"/>
          <w:b/>
          <w:kern w:val="0"/>
          <w:sz w:val="32"/>
          <w:szCs w:val="32"/>
          <w:shd w:val="clear" w:color="auto" w:fill="FFFFFF"/>
          <w:lang w:val="zh-CN"/>
        </w:rPr>
        <w:t>（二）机构职能</w:t>
      </w:r>
    </w:p>
    <w:p w14:paraId="5AF628DF">
      <w:pPr>
        <w:pStyle w:val="5"/>
        <w:adjustRightInd w:val="0"/>
        <w:snapToGrid w:val="0"/>
        <w:spacing w:before="93" w:line="600" w:lineRule="exact"/>
        <w:ind w:firstLine="672" w:firstLineChars="210"/>
        <w:rPr>
          <w:rFonts w:ascii="仿宋" w:hAnsi="仿宋" w:eastAsia="仿宋"/>
          <w:bCs/>
          <w:sz w:val="32"/>
          <w:szCs w:val="32"/>
        </w:rPr>
      </w:pPr>
      <w:r>
        <w:rPr>
          <w:rFonts w:ascii="仿宋" w:hAnsi="仿宋" w:eastAsia="仿宋" w:cs="Arial"/>
          <w:sz w:val="32"/>
          <w:szCs w:val="32"/>
          <w:shd w:val="clear" w:color="auto" w:fill="FFFFFF"/>
        </w:rPr>
        <w:t>1.贯彻执行国家、省有关国土资源的调控政策、措施和法律、法规，承担保护与合理利用土地资源、矿产资源的责任。2.承担规范国土管理秩序责任。3.承担优化配置国土资源的责任。4.负责规范国土资源权属管理。5.承担全市耕地保护的监督检查责任，确保耕地保有量和基本农田面积不减少。6.承担及时准确提供全市土地利用各种数据的责任。7.承担国土资源市场管理秩序的责任。8.承担节约集约利用标准，管理和监督城乡建设用地供应、政府土地储备、土地开发和节约集约利用。9.负责矿产资源开发的管理。10.负责地质勘查行业和矿产资源储备的管理。11.</w:t>
      </w:r>
      <w:r>
        <w:rPr>
          <w:rFonts w:hint="eastAsia" w:ascii="仿宋" w:hAnsi="仿宋" w:eastAsia="仿宋" w:cs="Arial"/>
          <w:sz w:val="32"/>
          <w:szCs w:val="32"/>
          <w:shd w:val="clear" w:color="auto" w:fill="FFFFFF"/>
        </w:rPr>
        <w:t>组织编制地质灾害防治规划并指导实施，</w:t>
      </w:r>
      <w:r>
        <w:rPr>
          <w:rFonts w:ascii="仿宋" w:hAnsi="仿宋" w:eastAsia="仿宋" w:cs="Arial"/>
          <w:sz w:val="32"/>
          <w:szCs w:val="32"/>
          <w:shd w:val="clear" w:color="auto" w:fill="FFFFFF"/>
        </w:rPr>
        <w:t>组织、协调、指导和监督地质灾害</w:t>
      </w:r>
      <w:r>
        <w:rPr>
          <w:rFonts w:hint="eastAsia" w:ascii="仿宋" w:hAnsi="仿宋" w:eastAsia="仿宋" w:cs="Arial"/>
          <w:sz w:val="32"/>
          <w:szCs w:val="32"/>
          <w:shd w:val="clear" w:color="auto" w:fill="FFFFFF"/>
        </w:rPr>
        <w:t>调查评价及隐患的普查。评查、排查</w:t>
      </w:r>
      <w:r>
        <w:rPr>
          <w:rFonts w:ascii="仿宋" w:hAnsi="仿宋" w:eastAsia="仿宋" w:cs="Arial"/>
          <w:sz w:val="32"/>
          <w:szCs w:val="32"/>
          <w:shd w:val="clear" w:color="auto" w:fill="FFFFFF"/>
        </w:rPr>
        <w:t>。12.依法征收土地、矿产资源收益，规范、监督资金使用，拟订土地、矿产资源参与经济调控的政策措施。13.具体承担市城区规划区内不动产登记经办工作。14.推进国土资源科技进步，组织开发对外合作与组织制订、实施国土资源科技发展、人才培养规划和计划等。15.负责管理县（区）国土管理部门领导班子和系统的党风廉政建设、行业作风建设。16.承担市政府公布的有关行政审批事项。17.承担市政府交办的其他事项。</w:t>
      </w:r>
    </w:p>
    <w:p w14:paraId="6862AC41">
      <w:pPr>
        <w:adjustRightInd w:val="0"/>
        <w:snapToGrid w:val="0"/>
        <w:spacing w:line="540" w:lineRule="exact"/>
        <w:ind w:firstLine="720"/>
        <w:jc w:val="left"/>
        <w:rPr>
          <w:rFonts w:ascii="仿宋" w:hAnsi="仿宋" w:eastAsia="仿宋" w:cs="仿宋_GB2312"/>
          <w:b/>
          <w:kern w:val="0"/>
          <w:sz w:val="32"/>
          <w:szCs w:val="32"/>
          <w:shd w:val="clear" w:color="auto" w:fill="FFFFFF"/>
          <w:lang w:val="zh-CN"/>
        </w:rPr>
      </w:pPr>
      <w:r>
        <w:rPr>
          <w:rFonts w:hint="eastAsia" w:ascii="仿宋" w:hAnsi="仿宋" w:eastAsia="仿宋" w:cs="仿宋_GB2312"/>
          <w:b/>
          <w:kern w:val="0"/>
          <w:sz w:val="32"/>
          <w:szCs w:val="32"/>
          <w:shd w:val="clear" w:color="auto" w:fill="FFFFFF"/>
          <w:lang w:val="zh-CN"/>
        </w:rPr>
        <w:t>（三）人员概况</w:t>
      </w:r>
    </w:p>
    <w:p w14:paraId="581988D9">
      <w:pPr>
        <w:adjustRightInd w:val="0"/>
        <w:snapToGrid w:val="0"/>
        <w:spacing w:line="540" w:lineRule="exact"/>
        <w:ind w:firstLine="720"/>
        <w:jc w:val="left"/>
        <w:rPr>
          <w:rFonts w:ascii="仿宋" w:hAnsi="仿宋" w:eastAsia="仿宋"/>
          <w:kern w:val="0"/>
          <w:sz w:val="32"/>
          <w:szCs w:val="32"/>
          <w:shd w:val="clear" w:color="auto" w:fill="FFFFFF"/>
          <w:lang w:val="zh-CN"/>
        </w:rPr>
      </w:pPr>
      <w:r>
        <w:rPr>
          <w:rFonts w:hint="eastAsia" w:ascii="仿宋" w:hAnsi="仿宋" w:eastAsia="仿宋"/>
          <w:kern w:val="0"/>
          <w:sz w:val="32"/>
          <w:szCs w:val="32"/>
          <w:shd w:val="clear" w:color="auto" w:fill="FFFFFF"/>
          <w:lang w:val="zh-CN"/>
        </w:rPr>
        <w:t xml:space="preserve"> 遂宁市国土资源局在编人员共166人，其中行政人员35人，事业人员131人。</w:t>
      </w:r>
    </w:p>
    <w:p w14:paraId="710CE258">
      <w:pPr>
        <w:adjustRightInd w:val="0"/>
        <w:snapToGrid w:val="0"/>
        <w:spacing w:line="540" w:lineRule="exact"/>
        <w:ind w:firstLine="720"/>
        <w:jc w:val="left"/>
        <w:rPr>
          <w:rFonts w:ascii="仿宋" w:hAnsi="仿宋" w:eastAsia="仿宋"/>
          <w:b/>
          <w:kern w:val="0"/>
          <w:sz w:val="32"/>
          <w:szCs w:val="32"/>
          <w:shd w:val="clear" w:color="auto" w:fill="FFFFFF"/>
        </w:rPr>
      </w:pPr>
      <w:r>
        <w:rPr>
          <w:rFonts w:hint="eastAsia" w:ascii="仿宋" w:hAnsi="仿宋" w:eastAsia="仿宋" w:cs="黑体"/>
          <w:b/>
          <w:kern w:val="0"/>
          <w:sz w:val="32"/>
          <w:szCs w:val="32"/>
          <w:shd w:val="clear" w:color="auto" w:fill="FFFFFF"/>
        </w:rPr>
        <w:t>二、部门财政资金收支情况</w:t>
      </w:r>
    </w:p>
    <w:p w14:paraId="123E8887">
      <w:pPr>
        <w:adjustRightInd w:val="0"/>
        <w:snapToGrid w:val="0"/>
        <w:spacing w:line="540" w:lineRule="exact"/>
        <w:ind w:firstLine="720"/>
        <w:jc w:val="left"/>
        <w:rPr>
          <w:rFonts w:ascii="仿宋" w:hAnsi="仿宋" w:eastAsia="仿宋" w:cs="仿宋_GB2312"/>
          <w:b/>
          <w:kern w:val="0"/>
          <w:sz w:val="32"/>
          <w:szCs w:val="32"/>
          <w:shd w:val="clear" w:color="auto" w:fill="FFFFFF"/>
          <w:lang w:val="zh-CN"/>
        </w:rPr>
      </w:pPr>
      <w:r>
        <w:rPr>
          <w:rFonts w:hint="eastAsia" w:ascii="仿宋" w:hAnsi="仿宋" w:eastAsia="仿宋" w:cs="仿宋_GB2312"/>
          <w:b/>
          <w:kern w:val="0"/>
          <w:sz w:val="32"/>
          <w:szCs w:val="32"/>
          <w:shd w:val="clear" w:color="auto" w:fill="FFFFFF"/>
          <w:lang w:val="zh-CN"/>
        </w:rPr>
        <w:t>（一）部门财政资金收入情况</w:t>
      </w:r>
    </w:p>
    <w:p w14:paraId="04B2404E">
      <w:pPr>
        <w:spacing w:line="600" w:lineRule="exact"/>
        <w:ind w:firstLine="640" w:firstLineChars="200"/>
        <w:rPr>
          <w:rFonts w:ascii="仿宋" w:hAnsi="仿宋" w:eastAsia="仿宋"/>
          <w:sz w:val="32"/>
          <w:szCs w:val="32"/>
        </w:rPr>
      </w:pPr>
      <w:r>
        <w:rPr>
          <w:rFonts w:hint="eastAsia" w:ascii="仿宋" w:hAnsi="仿宋" w:eastAsia="仿宋"/>
          <w:sz w:val="32"/>
          <w:szCs w:val="32"/>
        </w:rPr>
        <w:t>2018年度财政拨款收入58411.65万元，其中一般公共预算财政拨款收入4586.15万元。</w:t>
      </w:r>
    </w:p>
    <w:p w14:paraId="1E6BD342">
      <w:pPr>
        <w:adjustRightInd w:val="0"/>
        <w:snapToGrid w:val="0"/>
        <w:spacing w:line="540" w:lineRule="exact"/>
        <w:ind w:firstLine="720"/>
        <w:jc w:val="left"/>
        <w:rPr>
          <w:rFonts w:ascii="仿宋" w:hAnsi="仿宋" w:eastAsia="仿宋" w:cs="仿宋_GB2312"/>
          <w:b/>
          <w:kern w:val="0"/>
          <w:sz w:val="32"/>
          <w:szCs w:val="32"/>
          <w:shd w:val="clear" w:color="auto" w:fill="FFFFFF"/>
          <w:lang w:val="zh-CN"/>
        </w:rPr>
      </w:pPr>
      <w:r>
        <w:rPr>
          <w:rFonts w:hint="eastAsia" w:ascii="仿宋" w:hAnsi="仿宋" w:eastAsia="仿宋" w:cs="仿宋_GB2312"/>
          <w:b/>
          <w:kern w:val="0"/>
          <w:sz w:val="32"/>
          <w:szCs w:val="32"/>
          <w:shd w:val="clear" w:color="auto" w:fill="FFFFFF"/>
          <w:lang w:val="zh-CN"/>
        </w:rPr>
        <w:t>（二）部门财政资金支出情况</w:t>
      </w:r>
    </w:p>
    <w:p w14:paraId="367B7BE8">
      <w:pPr>
        <w:spacing w:line="600" w:lineRule="exact"/>
        <w:ind w:firstLine="640" w:firstLineChars="200"/>
        <w:rPr>
          <w:rFonts w:ascii="仿宋" w:hAnsi="仿宋" w:eastAsia="仿宋"/>
          <w:sz w:val="32"/>
          <w:szCs w:val="32"/>
        </w:rPr>
      </w:pPr>
      <w:r>
        <w:rPr>
          <w:rFonts w:hint="eastAsia" w:ascii="仿宋" w:hAnsi="仿宋" w:eastAsia="仿宋"/>
          <w:sz w:val="32"/>
          <w:szCs w:val="32"/>
        </w:rPr>
        <w:t>2018年度财政拨款支出总计58051.02万元，其中一般公共预算财政拨款支出4515.68万元。</w:t>
      </w:r>
    </w:p>
    <w:p w14:paraId="1AB1C985">
      <w:pPr>
        <w:adjustRightInd w:val="0"/>
        <w:snapToGrid w:val="0"/>
        <w:spacing w:line="540" w:lineRule="exact"/>
        <w:ind w:firstLine="720"/>
        <w:jc w:val="left"/>
        <w:rPr>
          <w:rFonts w:ascii="仿宋" w:hAnsi="仿宋" w:eastAsia="仿宋"/>
          <w:b/>
          <w:kern w:val="0"/>
          <w:sz w:val="32"/>
          <w:szCs w:val="32"/>
          <w:shd w:val="clear" w:color="auto" w:fill="FFFFFF"/>
        </w:rPr>
      </w:pPr>
      <w:r>
        <w:rPr>
          <w:rFonts w:hint="eastAsia" w:ascii="仿宋" w:hAnsi="仿宋" w:eastAsia="仿宋" w:cs="黑体"/>
          <w:b/>
          <w:kern w:val="0"/>
          <w:sz w:val="32"/>
          <w:szCs w:val="32"/>
          <w:shd w:val="clear" w:color="auto" w:fill="FFFFFF"/>
        </w:rPr>
        <w:t>三、部门整体预算绩效管理情况</w:t>
      </w:r>
    </w:p>
    <w:p w14:paraId="6AA8C49C">
      <w:pPr>
        <w:adjustRightInd w:val="0"/>
        <w:snapToGrid w:val="0"/>
        <w:spacing w:line="540" w:lineRule="exact"/>
        <w:ind w:firstLine="720"/>
        <w:jc w:val="left"/>
        <w:rPr>
          <w:rFonts w:ascii="仿宋" w:hAnsi="仿宋" w:eastAsia="仿宋" w:cs="楷体_GB2312"/>
          <w:b/>
          <w:kern w:val="0"/>
          <w:sz w:val="32"/>
          <w:szCs w:val="32"/>
          <w:shd w:val="clear" w:color="auto" w:fill="FFFFFF"/>
          <w:lang w:val="zh-CN"/>
        </w:rPr>
      </w:pPr>
      <w:r>
        <w:rPr>
          <w:rFonts w:hint="eastAsia" w:ascii="仿宋" w:hAnsi="仿宋" w:eastAsia="仿宋" w:cs="楷体_GB2312"/>
          <w:b/>
          <w:kern w:val="0"/>
          <w:sz w:val="32"/>
          <w:szCs w:val="32"/>
          <w:shd w:val="clear" w:color="auto" w:fill="FFFFFF"/>
          <w:lang w:val="zh-CN"/>
        </w:rPr>
        <w:t>（一）部门预算管理</w:t>
      </w:r>
    </w:p>
    <w:p w14:paraId="06CF7BD3">
      <w:pPr>
        <w:rPr>
          <w:rFonts w:ascii="仿宋" w:hAnsi="仿宋" w:eastAsia="仿宋"/>
          <w:sz w:val="32"/>
          <w:szCs w:val="32"/>
        </w:rPr>
      </w:pPr>
      <w:r>
        <w:rPr>
          <w:rFonts w:hint="eastAsia" w:ascii="仿宋" w:hAnsi="仿宋" w:eastAsia="仿宋"/>
          <w:sz w:val="32"/>
          <w:szCs w:val="32"/>
        </w:rPr>
        <w:t>　   1.预算编制质量</w:t>
      </w:r>
    </w:p>
    <w:p w14:paraId="549E9713">
      <w:pPr>
        <w:ind w:firstLine="800" w:firstLineChars="250"/>
        <w:rPr>
          <w:rFonts w:ascii="仿宋" w:hAnsi="仿宋" w:eastAsia="仿宋"/>
          <w:sz w:val="32"/>
          <w:szCs w:val="32"/>
        </w:rPr>
      </w:pPr>
      <w:r>
        <w:rPr>
          <w:rFonts w:hint="eastAsia" w:ascii="仿宋" w:hAnsi="仿宋" w:eastAsia="仿宋"/>
          <w:sz w:val="32"/>
          <w:szCs w:val="32"/>
        </w:rPr>
        <w:t>认真做好2018年度预算编制的基础准备工作。一是对单位及人员的基本信息、工资项目及数据进行全面收集、清理、完善与审核。二是按照本部门工作任务和事业发展需求，合理提出通用项目和专用项目预算计划。严格执行收入预算编制口径，保证了收入预算编制的真实、完整，做到了应编尽编，全部收入纳入当年预算管理，无一漏报。项目支出预算强化了“集中管理、统筹安排”的原则。</w:t>
      </w:r>
    </w:p>
    <w:p w14:paraId="5CEA5196">
      <w:pPr>
        <w:ind w:firstLine="640" w:firstLineChars="200"/>
        <w:rPr>
          <w:rFonts w:ascii="仿宋" w:hAnsi="仿宋" w:eastAsia="仿宋"/>
          <w:sz w:val="32"/>
          <w:szCs w:val="32"/>
        </w:rPr>
      </w:pPr>
      <w:r>
        <w:rPr>
          <w:rFonts w:hint="eastAsia" w:ascii="仿宋" w:hAnsi="仿宋" w:eastAsia="仿宋"/>
          <w:sz w:val="32"/>
          <w:szCs w:val="32"/>
        </w:rPr>
        <w:t>2.预算执行方面</w:t>
      </w:r>
    </w:p>
    <w:p w14:paraId="2CB93C24">
      <w:pPr>
        <w:ind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本年预算配置控制较好，按照绩效目标设定的要求，项目执行过程中，在保证项目质量安全的前提下，单位合理控制成本，比预期支出有所减少。“三公”经费支出总额控制得当，较上年有所减少。</w:t>
      </w:r>
      <w:bookmarkStart w:id="79" w:name="_GoBack"/>
      <w:bookmarkEnd w:id="79"/>
    </w:p>
    <w:p w14:paraId="1D034DCF">
      <w:pPr>
        <w:ind w:firstLine="640" w:firstLineChars="200"/>
        <w:rPr>
          <w:rFonts w:ascii="仿宋" w:hAnsi="仿宋" w:eastAsia="仿宋"/>
          <w:sz w:val="32"/>
          <w:szCs w:val="30"/>
          <w:shd w:val="clear" w:color="auto" w:fill="FFFFFF"/>
        </w:rPr>
      </w:pPr>
      <w:r>
        <w:rPr>
          <w:rFonts w:hint="eastAsia" w:ascii="仿宋" w:hAnsi="仿宋" w:eastAsia="仿宋"/>
          <w:sz w:val="32"/>
          <w:szCs w:val="30"/>
          <w:shd w:val="clear" w:color="auto" w:fill="FFFFFF"/>
        </w:rPr>
        <w:t>3.预算管理方面</w:t>
      </w:r>
    </w:p>
    <w:p w14:paraId="4FD02BF7">
      <w:pPr>
        <w:ind w:firstLine="640" w:firstLineChars="200"/>
        <w:rPr>
          <w:rFonts w:ascii="仿宋" w:hAnsi="仿宋" w:eastAsia="仿宋"/>
          <w:sz w:val="32"/>
          <w:szCs w:val="30"/>
        </w:rPr>
      </w:pPr>
      <w:r>
        <w:rPr>
          <w:rFonts w:hint="eastAsia" w:ascii="仿宋" w:hAnsi="仿宋" w:eastAsia="仿宋"/>
          <w:sz w:val="32"/>
          <w:szCs w:val="30"/>
          <w:shd w:val="clear" w:color="auto" w:fill="FFFFFF"/>
        </w:rPr>
        <w:t>按照2018年初制定的单位预算方案，无论是在资金、项目还是在支出模式、支出结构上，都严格管理，较好地完成了年初绩效预算的目标。</w:t>
      </w:r>
      <w:r>
        <w:rPr>
          <w:rFonts w:hint="eastAsia" w:eastAsia="仿宋" w:asciiTheme="minorEastAsia" w:hAnsiTheme="minorEastAsia"/>
          <w:sz w:val="32"/>
          <w:szCs w:val="30"/>
        </w:rPr>
        <w:t> </w:t>
      </w:r>
    </w:p>
    <w:p w14:paraId="21EC2604">
      <w:pPr>
        <w:adjustRightInd w:val="0"/>
        <w:snapToGrid w:val="0"/>
        <w:spacing w:line="540" w:lineRule="exact"/>
        <w:ind w:firstLine="482" w:firstLineChars="150"/>
        <w:jc w:val="left"/>
        <w:rPr>
          <w:rFonts w:ascii="仿宋" w:hAnsi="仿宋" w:eastAsia="仿宋" w:cs="楷体_GB2312"/>
          <w:b/>
          <w:kern w:val="0"/>
          <w:sz w:val="32"/>
          <w:szCs w:val="32"/>
          <w:shd w:val="clear" w:color="auto" w:fill="FFFFFF"/>
          <w:lang w:val="zh-CN"/>
        </w:rPr>
      </w:pPr>
      <w:r>
        <w:rPr>
          <w:rFonts w:hint="eastAsia" w:ascii="仿宋" w:hAnsi="仿宋" w:eastAsia="仿宋" w:cs="楷体_GB2312"/>
          <w:b/>
          <w:kern w:val="0"/>
          <w:sz w:val="32"/>
          <w:szCs w:val="32"/>
          <w:shd w:val="clear" w:color="auto" w:fill="FFFFFF"/>
          <w:lang w:val="zh-CN"/>
        </w:rPr>
        <w:t>（二）专项预算管理</w:t>
      </w:r>
    </w:p>
    <w:p w14:paraId="4CD7B2CB">
      <w:pPr>
        <w:adjustRightInd w:val="0"/>
        <w:snapToGrid w:val="0"/>
        <w:spacing w:line="540" w:lineRule="exact"/>
        <w:ind w:firstLine="480" w:firstLineChars="150"/>
        <w:jc w:val="left"/>
        <w:rPr>
          <w:rFonts w:ascii="仿宋" w:hAnsi="仿宋" w:eastAsia="仿宋" w:cs="楷体_GB2312"/>
          <w:kern w:val="0"/>
          <w:sz w:val="32"/>
          <w:szCs w:val="32"/>
          <w:shd w:val="clear" w:color="auto" w:fill="FFFFFF"/>
          <w:lang w:val="zh-CN"/>
        </w:rPr>
      </w:pPr>
      <w:r>
        <w:rPr>
          <w:rFonts w:hint="eastAsia" w:ascii="仿宋" w:hAnsi="仿宋" w:eastAsia="仿宋" w:cs="楷体_GB2312"/>
          <w:kern w:val="0"/>
          <w:sz w:val="32"/>
          <w:szCs w:val="32"/>
          <w:shd w:val="clear" w:color="auto" w:fill="FFFFFF"/>
          <w:lang w:val="zh-CN"/>
        </w:rPr>
        <w:t>对于专项预算项目</w:t>
      </w:r>
      <w:r>
        <w:rPr>
          <w:rFonts w:hint="eastAsia" w:ascii="仿宋" w:hAnsi="仿宋" w:eastAsia="仿宋"/>
          <w:sz w:val="32"/>
          <w:szCs w:val="32"/>
        </w:rPr>
        <w:t>绩效目标的填报中，较完整地编制了计划、依据、当年要完成的工作任务和预期要完成的绩效目标。在部门重点工作保障方面，绩效目标进一步明确和量化，能较完整、合理反映部门年度职责履行情况。</w:t>
      </w:r>
    </w:p>
    <w:p w14:paraId="45676BBA">
      <w:pPr>
        <w:adjustRightInd w:val="0"/>
        <w:snapToGrid w:val="0"/>
        <w:spacing w:line="540" w:lineRule="exact"/>
        <w:ind w:firstLine="482" w:firstLineChars="150"/>
        <w:jc w:val="left"/>
        <w:rPr>
          <w:rFonts w:ascii="仿宋" w:hAnsi="仿宋" w:eastAsia="仿宋" w:cs="楷体_GB2312"/>
          <w:b/>
          <w:kern w:val="0"/>
          <w:sz w:val="32"/>
          <w:szCs w:val="32"/>
          <w:shd w:val="clear" w:color="auto" w:fill="FFFFFF"/>
          <w:lang w:val="zh-CN"/>
        </w:rPr>
      </w:pPr>
    </w:p>
    <w:p w14:paraId="0B6FB836">
      <w:pPr>
        <w:ind w:firstLine="640" w:firstLineChars="200"/>
        <w:rPr>
          <w:rFonts w:ascii="仿宋" w:hAnsi="仿宋" w:eastAsia="仿宋"/>
          <w:sz w:val="32"/>
          <w:szCs w:val="32"/>
        </w:rPr>
      </w:pPr>
      <w:r>
        <w:rPr>
          <w:rFonts w:hint="eastAsia" w:ascii="仿宋" w:hAnsi="仿宋" w:eastAsia="仿宋"/>
          <w:sz w:val="32"/>
          <w:szCs w:val="32"/>
        </w:rPr>
        <w:t>2018上半年预算执行进度较慢，下半年加大了执行力度。严格执行了机关厉行节约的相关规定，节约了财政资金，保障了单位各项业务的正常开展以及行政工作任务的圆满完成，基本达到预定绩效目标。</w:t>
      </w:r>
    </w:p>
    <w:p w14:paraId="0F6D2889">
      <w:pPr>
        <w:adjustRightInd w:val="0"/>
        <w:snapToGrid w:val="0"/>
        <w:spacing w:line="540" w:lineRule="exact"/>
        <w:ind w:firstLine="720"/>
        <w:jc w:val="left"/>
        <w:rPr>
          <w:rFonts w:ascii="仿宋" w:hAnsi="仿宋" w:eastAsia="仿宋"/>
          <w:b/>
          <w:kern w:val="0"/>
          <w:sz w:val="32"/>
          <w:szCs w:val="32"/>
          <w:shd w:val="clear" w:color="auto" w:fill="FFFFFF"/>
        </w:rPr>
      </w:pPr>
      <w:r>
        <w:rPr>
          <w:rFonts w:hint="eastAsia" w:ascii="仿宋" w:hAnsi="仿宋" w:eastAsia="仿宋" w:cs="黑体"/>
          <w:b/>
          <w:kern w:val="0"/>
          <w:sz w:val="32"/>
          <w:szCs w:val="32"/>
          <w:shd w:val="clear" w:color="auto" w:fill="FFFFFF"/>
        </w:rPr>
        <w:t>四、评价结论及建议</w:t>
      </w:r>
    </w:p>
    <w:p w14:paraId="4F2915F2">
      <w:pPr>
        <w:adjustRightInd w:val="0"/>
        <w:snapToGrid w:val="0"/>
        <w:spacing w:line="540" w:lineRule="exact"/>
        <w:ind w:firstLine="720"/>
        <w:jc w:val="left"/>
        <w:rPr>
          <w:rFonts w:ascii="仿宋" w:hAnsi="仿宋" w:eastAsia="仿宋" w:cs="仿宋_GB2312"/>
          <w:b/>
          <w:kern w:val="0"/>
          <w:sz w:val="32"/>
          <w:szCs w:val="32"/>
          <w:shd w:val="clear" w:color="auto" w:fill="FFFFFF"/>
          <w:lang w:val="zh-CN"/>
        </w:rPr>
      </w:pPr>
      <w:r>
        <w:rPr>
          <w:rFonts w:hint="eastAsia" w:ascii="仿宋" w:hAnsi="仿宋" w:eastAsia="仿宋" w:cs="仿宋_GB2312"/>
          <w:b/>
          <w:kern w:val="0"/>
          <w:sz w:val="32"/>
          <w:szCs w:val="32"/>
          <w:shd w:val="clear" w:color="auto" w:fill="FFFFFF"/>
          <w:lang w:val="zh-CN"/>
        </w:rPr>
        <w:t>（一）评价结论</w:t>
      </w:r>
    </w:p>
    <w:p w14:paraId="44A56324">
      <w:pPr>
        <w:adjustRightInd w:val="0"/>
        <w:snapToGrid w:val="0"/>
        <w:spacing w:line="540" w:lineRule="exact"/>
        <w:ind w:firstLine="720"/>
        <w:jc w:val="left"/>
        <w:rPr>
          <w:rFonts w:ascii="仿宋" w:hAnsi="仿宋" w:eastAsia="仿宋"/>
          <w:kern w:val="0"/>
          <w:sz w:val="32"/>
          <w:szCs w:val="32"/>
          <w:shd w:val="clear" w:color="auto" w:fill="FFFFFF"/>
          <w:lang w:val="zh-CN"/>
        </w:rPr>
      </w:pPr>
      <w:r>
        <w:rPr>
          <w:rFonts w:hint="eastAsia" w:ascii="仿宋" w:hAnsi="仿宋" w:eastAsia="仿宋"/>
          <w:sz w:val="32"/>
          <w:szCs w:val="32"/>
        </w:rPr>
        <w:t>按照预算绩效管理要求，市国土资源局对2018年整体支出开展绩效自评，自评得分89分。</w:t>
      </w:r>
    </w:p>
    <w:p w14:paraId="57707B15">
      <w:pPr>
        <w:adjustRightInd w:val="0"/>
        <w:snapToGrid w:val="0"/>
        <w:spacing w:line="540" w:lineRule="exact"/>
        <w:ind w:firstLine="720"/>
        <w:jc w:val="left"/>
        <w:rPr>
          <w:rFonts w:ascii="仿宋" w:hAnsi="仿宋" w:eastAsia="仿宋" w:cs="仿宋_GB2312"/>
          <w:b/>
          <w:kern w:val="0"/>
          <w:sz w:val="32"/>
          <w:szCs w:val="32"/>
          <w:shd w:val="clear" w:color="auto" w:fill="FFFFFF"/>
          <w:lang w:val="zh-CN"/>
        </w:rPr>
      </w:pPr>
      <w:r>
        <w:rPr>
          <w:rFonts w:hint="eastAsia" w:ascii="仿宋" w:hAnsi="仿宋" w:eastAsia="仿宋" w:cs="仿宋_GB2312"/>
          <w:b/>
          <w:kern w:val="0"/>
          <w:sz w:val="32"/>
          <w:szCs w:val="32"/>
          <w:shd w:val="clear" w:color="auto" w:fill="FFFFFF"/>
          <w:lang w:val="zh-CN"/>
        </w:rPr>
        <w:t>（二）存在问题</w:t>
      </w:r>
    </w:p>
    <w:p w14:paraId="06484DE5">
      <w:pPr>
        <w:ind w:firstLine="640" w:firstLineChars="200"/>
        <w:rPr>
          <w:rFonts w:ascii="仿宋" w:hAnsi="仿宋" w:eastAsia="仿宋"/>
          <w:sz w:val="32"/>
          <w:szCs w:val="32"/>
        </w:rPr>
      </w:pPr>
      <w:r>
        <w:rPr>
          <w:rFonts w:hint="eastAsia" w:ascii="仿宋" w:hAnsi="仿宋" w:eastAsia="仿宋"/>
          <w:sz w:val="32"/>
          <w:szCs w:val="32"/>
        </w:rPr>
        <w:t>一是项目预算不够科学。对下年度工作的统筹考虑还不够周全和详细，在编制预算时对全年工作进行充分调研和论证不够，导致编制出的预算不够全面和准确。二是专项资金使用的时效性与实效性欠佳。</w:t>
      </w:r>
    </w:p>
    <w:p w14:paraId="7074F103">
      <w:pPr>
        <w:adjustRightInd w:val="0"/>
        <w:snapToGrid w:val="0"/>
        <w:spacing w:line="540" w:lineRule="exact"/>
        <w:ind w:firstLine="720"/>
        <w:jc w:val="left"/>
        <w:rPr>
          <w:rFonts w:ascii="仿宋" w:hAnsi="仿宋" w:eastAsia="仿宋"/>
          <w:b/>
          <w:kern w:val="0"/>
          <w:sz w:val="32"/>
          <w:szCs w:val="32"/>
          <w:shd w:val="clear" w:color="auto" w:fill="FFFFFF"/>
          <w:lang w:val="zh-CN"/>
        </w:rPr>
      </w:pPr>
      <w:r>
        <w:rPr>
          <w:rFonts w:hint="eastAsia" w:ascii="仿宋" w:hAnsi="仿宋" w:eastAsia="仿宋" w:cs="仿宋_GB2312"/>
          <w:b/>
          <w:kern w:val="0"/>
          <w:sz w:val="32"/>
          <w:szCs w:val="32"/>
          <w:shd w:val="clear" w:color="auto" w:fill="FFFFFF"/>
          <w:lang w:val="zh-CN"/>
        </w:rPr>
        <w:t>（三）下步工作打算</w:t>
      </w:r>
    </w:p>
    <w:p w14:paraId="6DE082CD">
      <w:pPr>
        <w:ind w:firstLine="640" w:firstLineChars="200"/>
        <w:rPr>
          <w:rFonts w:ascii="仿宋" w:hAnsi="仿宋" w:eastAsia="仿宋"/>
          <w:sz w:val="32"/>
          <w:szCs w:val="32"/>
        </w:rPr>
      </w:pPr>
      <w:r>
        <w:rPr>
          <w:rFonts w:hint="eastAsia" w:ascii="仿宋" w:hAnsi="仿宋" w:eastAsia="仿宋"/>
          <w:sz w:val="32"/>
          <w:szCs w:val="32"/>
        </w:rPr>
        <w:t>一是科学合理编制预算，严格执行预算，在日常预算管理过程中，进一步加强预算支出的审核、跟踪及预算执行情况分析；二是进一步加强资产管理；三是提高专项项目预算执行进度。</w:t>
      </w:r>
    </w:p>
    <w:p w14:paraId="2CED1339">
      <w:pPr>
        <w:rPr>
          <w:rFonts w:ascii="仿宋" w:hAnsi="仿宋" w:eastAsia="仿宋"/>
          <w:sz w:val="32"/>
          <w:szCs w:val="32"/>
        </w:rPr>
      </w:pPr>
    </w:p>
    <w:p w14:paraId="3B075DEF">
      <w:pPr>
        <w:rPr>
          <w:rFonts w:ascii="仿宋" w:hAnsi="仿宋" w:eastAsia="仿宋"/>
          <w:sz w:val="32"/>
          <w:szCs w:val="32"/>
        </w:rPr>
      </w:pPr>
    </w:p>
    <w:p w14:paraId="611D2B7E">
      <w:pPr>
        <w:rPr>
          <w:rFonts w:ascii="仿宋" w:hAnsi="仿宋" w:eastAsia="仿宋"/>
          <w:sz w:val="32"/>
          <w:szCs w:val="32"/>
        </w:rPr>
      </w:pPr>
    </w:p>
    <w:p w14:paraId="6A43A124">
      <w:pPr>
        <w:rPr>
          <w:rFonts w:ascii="仿宋" w:hAnsi="仿宋" w:eastAsia="仿宋"/>
          <w:sz w:val="32"/>
          <w:szCs w:val="32"/>
        </w:rPr>
      </w:pPr>
      <w:r>
        <w:rPr>
          <w:rFonts w:hint="eastAsia" w:ascii="仿宋" w:hAnsi="仿宋" w:eastAsia="仿宋"/>
          <w:sz w:val="32"/>
          <w:szCs w:val="32"/>
        </w:rPr>
        <w:t xml:space="preserve">                   </w:t>
      </w:r>
    </w:p>
    <w:p w14:paraId="0E49054A">
      <w:pPr>
        <w:spacing w:line="600" w:lineRule="exact"/>
        <w:jc w:val="center"/>
        <w:outlineLvl w:val="0"/>
        <w:rPr>
          <w:rFonts w:ascii="黑体" w:hAnsi="黑体" w:eastAsia="黑体"/>
          <w:sz w:val="44"/>
          <w:szCs w:val="44"/>
        </w:rPr>
      </w:pPr>
      <w:bookmarkStart w:id="65" w:name="_Toc15396618"/>
    </w:p>
    <w:p w14:paraId="2DBFCCC0">
      <w:pPr>
        <w:spacing w:line="600" w:lineRule="exact"/>
        <w:jc w:val="center"/>
        <w:outlineLvl w:val="0"/>
        <w:rPr>
          <w:rFonts w:ascii="黑体" w:hAnsi="黑体" w:eastAsia="黑体"/>
          <w:sz w:val="44"/>
          <w:szCs w:val="44"/>
        </w:rPr>
      </w:pPr>
    </w:p>
    <w:p w14:paraId="5667823C">
      <w:pPr>
        <w:spacing w:line="600" w:lineRule="exact"/>
        <w:jc w:val="center"/>
        <w:outlineLvl w:val="0"/>
        <w:rPr>
          <w:rFonts w:ascii="黑体" w:hAnsi="黑体" w:eastAsia="黑体"/>
          <w:sz w:val="44"/>
          <w:szCs w:val="44"/>
        </w:rPr>
      </w:pPr>
    </w:p>
    <w:p w14:paraId="3CA29A71">
      <w:pPr>
        <w:spacing w:line="600" w:lineRule="exact"/>
        <w:jc w:val="center"/>
        <w:outlineLvl w:val="0"/>
        <w:rPr>
          <w:rFonts w:ascii="黑体" w:hAnsi="黑体" w:eastAsia="黑体"/>
          <w:sz w:val="44"/>
          <w:szCs w:val="44"/>
        </w:rPr>
      </w:pPr>
    </w:p>
    <w:p w14:paraId="13B457E6">
      <w:pPr>
        <w:spacing w:line="600" w:lineRule="exact"/>
        <w:jc w:val="center"/>
        <w:outlineLvl w:val="0"/>
        <w:rPr>
          <w:rFonts w:ascii="黑体" w:hAnsi="黑体" w:eastAsia="黑体"/>
          <w:sz w:val="44"/>
          <w:szCs w:val="44"/>
        </w:rPr>
      </w:pPr>
    </w:p>
    <w:p w14:paraId="442B858E">
      <w:pPr>
        <w:spacing w:line="600" w:lineRule="exact"/>
        <w:jc w:val="center"/>
        <w:outlineLvl w:val="0"/>
        <w:rPr>
          <w:rFonts w:ascii="黑体" w:hAnsi="黑体" w:eastAsia="黑体"/>
          <w:sz w:val="44"/>
          <w:szCs w:val="44"/>
        </w:rPr>
      </w:pPr>
    </w:p>
    <w:p w14:paraId="78AD704F">
      <w:pPr>
        <w:spacing w:line="600" w:lineRule="exact"/>
        <w:jc w:val="center"/>
        <w:outlineLvl w:val="0"/>
        <w:rPr>
          <w:rFonts w:ascii="黑体" w:hAnsi="黑体" w:eastAsia="黑体"/>
          <w:sz w:val="44"/>
          <w:szCs w:val="44"/>
        </w:rPr>
      </w:pPr>
    </w:p>
    <w:p w14:paraId="1A0B3495">
      <w:pPr>
        <w:spacing w:line="600" w:lineRule="exact"/>
        <w:jc w:val="center"/>
        <w:outlineLvl w:val="0"/>
        <w:rPr>
          <w:rFonts w:ascii="黑体" w:hAnsi="黑体" w:eastAsia="黑体"/>
          <w:sz w:val="44"/>
          <w:szCs w:val="44"/>
        </w:rPr>
      </w:pPr>
    </w:p>
    <w:p w14:paraId="73D39257">
      <w:pPr>
        <w:spacing w:line="600" w:lineRule="exact"/>
        <w:jc w:val="center"/>
        <w:outlineLvl w:val="0"/>
        <w:rPr>
          <w:rFonts w:ascii="黑体" w:hAnsi="黑体" w:eastAsia="黑体"/>
          <w:sz w:val="44"/>
          <w:szCs w:val="44"/>
        </w:rPr>
      </w:pPr>
    </w:p>
    <w:p w14:paraId="34470B14">
      <w:pPr>
        <w:spacing w:line="600" w:lineRule="exact"/>
        <w:jc w:val="center"/>
        <w:outlineLvl w:val="0"/>
        <w:rPr>
          <w:rFonts w:ascii="黑体" w:hAnsi="黑体" w:eastAsia="黑体"/>
          <w:sz w:val="44"/>
          <w:szCs w:val="44"/>
        </w:rPr>
      </w:pPr>
    </w:p>
    <w:p w14:paraId="1F4DD646">
      <w:pPr>
        <w:spacing w:line="600" w:lineRule="exact"/>
        <w:jc w:val="center"/>
        <w:outlineLvl w:val="0"/>
        <w:rPr>
          <w:rFonts w:ascii="黑体" w:hAnsi="黑体" w:eastAsia="黑体"/>
          <w:sz w:val="44"/>
          <w:szCs w:val="44"/>
        </w:rPr>
      </w:pPr>
    </w:p>
    <w:p w14:paraId="0BB9CE8B">
      <w:pPr>
        <w:spacing w:line="600" w:lineRule="exact"/>
        <w:jc w:val="center"/>
        <w:outlineLvl w:val="0"/>
        <w:rPr>
          <w:rFonts w:ascii="黑体" w:hAnsi="黑体" w:eastAsia="黑体"/>
          <w:sz w:val="44"/>
          <w:szCs w:val="44"/>
        </w:rPr>
      </w:pPr>
    </w:p>
    <w:p w14:paraId="2DED7D6B">
      <w:pPr>
        <w:spacing w:line="600" w:lineRule="exact"/>
        <w:jc w:val="center"/>
        <w:outlineLvl w:val="0"/>
        <w:rPr>
          <w:rFonts w:ascii="黑体" w:hAnsi="黑体" w:eastAsia="黑体"/>
          <w:sz w:val="44"/>
          <w:szCs w:val="44"/>
        </w:rPr>
      </w:pPr>
    </w:p>
    <w:p w14:paraId="4DF83490">
      <w:pPr>
        <w:spacing w:line="600" w:lineRule="exact"/>
        <w:jc w:val="center"/>
        <w:outlineLvl w:val="0"/>
        <w:rPr>
          <w:rFonts w:ascii="黑体" w:hAnsi="黑体" w:eastAsia="黑体"/>
          <w:sz w:val="44"/>
          <w:szCs w:val="44"/>
        </w:rPr>
      </w:pPr>
    </w:p>
    <w:p w14:paraId="46DE5D2A">
      <w:pPr>
        <w:spacing w:line="600" w:lineRule="exact"/>
        <w:jc w:val="center"/>
        <w:outlineLvl w:val="0"/>
        <w:rPr>
          <w:rFonts w:ascii="黑体" w:hAnsi="黑体" w:eastAsia="黑体"/>
          <w:sz w:val="44"/>
          <w:szCs w:val="44"/>
        </w:rPr>
      </w:pPr>
    </w:p>
    <w:p w14:paraId="52F9AB37">
      <w:pPr>
        <w:spacing w:line="600" w:lineRule="exact"/>
        <w:jc w:val="center"/>
        <w:outlineLvl w:val="0"/>
        <w:rPr>
          <w:rFonts w:ascii="黑体" w:hAnsi="黑体" w:eastAsia="黑体"/>
          <w:sz w:val="44"/>
          <w:szCs w:val="44"/>
        </w:rPr>
      </w:pPr>
    </w:p>
    <w:p w14:paraId="24EE0885">
      <w:pPr>
        <w:spacing w:line="600" w:lineRule="exact"/>
        <w:jc w:val="center"/>
        <w:outlineLvl w:val="0"/>
        <w:rPr>
          <w:rFonts w:ascii="黑体" w:hAnsi="黑体" w:eastAsia="黑体"/>
          <w:sz w:val="44"/>
          <w:szCs w:val="44"/>
        </w:rPr>
      </w:pPr>
    </w:p>
    <w:p w14:paraId="0DFC8B5C">
      <w:pPr>
        <w:spacing w:line="600" w:lineRule="exact"/>
        <w:jc w:val="center"/>
        <w:outlineLvl w:val="0"/>
        <w:rPr>
          <w:rFonts w:ascii="黑体" w:hAnsi="黑体" w:eastAsia="黑体"/>
          <w:sz w:val="44"/>
          <w:szCs w:val="44"/>
        </w:rPr>
      </w:pPr>
    </w:p>
    <w:p w14:paraId="2F74D4EB">
      <w:pPr>
        <w:spacing w:line="600" w:lineRule="exact"/>
        <w:jc w:val="center"/>
        <w:outlineLvl w:val="0"/>
        <w:rPr>
          <w:rFonts w:ascii="黑体" w:hAnsi="黑体" w:eastAsia="黑体"/>
          <w:sz w:val="44"/>
          <w:szCs w:val="44"/>
        </w:rPr>
      </w:pPr>
    </w:p>
    <w:p w14:paraId="46E0BD57">
      <w:pPr>
        <w:spacing w:line="600" w:lineRule="exact"/>
        <w:jc w:val="center"/>
        <w:outlineLvl w:val="0"/>
        <w:rPr>
          <w:rStyle w:val="17"/>
          <w:rFonts w:ascii="黑体" w:hAnsi="黑体" w:eastAsia="黑体"/>
          <w:b w:val="0"/>
        </w:rPr>
      </w:pPr>
      <w:r>
        <w:rPr>
          <w:rFonts w:hint="eastAsia" w:ascii="黑体" w:hAnsi="黑体" w:eastAsia="黑体"/>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62"/>
      <w:bookmarkEnd w:id="65"/>
    </w:p>
    <w:p w14:paraId="22BDDB8B">
      <w:pPr>
        <w:spacing w:line="600" w:lineRule="exact"/>
        <w:jc w:val="center"/>
        <w:outlineLvl w:val="0"/>
        <w:rPr>
          <w:rFonts w:ascii="仿宋" w:hAnsi="仿宋" w:eastAsia="仿宋"/>
          <w:b/>
          <w:sz w:val="44"/>
          <w:szCs w:val="44"/>
        </w:rPr>
      </w:pPr>
    </w:p>
    <w:p w14:paraId="379CD9CE">
      <w:pPr>
        <w:pStyle w:val="3"/>
        <w:rPr>
          <w:rFonts w:ascii="仿宋" w:hAnsi="仿宋" w:eastAsia="仿宋"/>
        </w:rPr>
      </w:pPr>
      <w:bookmarkStart w:id="66" w:name="_Toc15396619"/>
      <w:r>
        <w:rPr>
          <w:rFonts w:hint="eastAsia" w:ascii="仿宋" w:hAnsi="仿宋" w:eastAsia="仿宋"/>
          <w:b w:val="0"/>
        </w:rPr>
        <w:t>一、收</w:t>
      </w:r>
      <w:r>
        <w:rPr>
          <w:rStyle w:val="18"/>
          <w:rFonts w:hint="eastAsia" w:ascii="仿宋" w:hAnsi="仿宋" w:eastAsia="仿宋"/>
          <w:b w:val="0"/>
          <w:bCs w:val="0"/>
        </w:rPr>
        <w:t>入支出决算总表</w:t>
      </w:r>
      <w:bookmarkEnd w:id="66"/>
    </w:p>
    <w:p w14:paraId="4BD74B19">
      <w:pPr>
        <w:pStyle w:val="3"/>
        <w:rPr>
          <w:rFonts w:ascii="仿宋" w:hAnsi="仿宋" w:eastAsia="仿宋"/>
        </w:rPr>
      </w:pPr>
      <w:bookmarkStart w:id="67" w:name="_Toc15396620"/>
      <w:r>
        <w:rPr>
          <w:rFonts w:hint="eastAsia" w:ascii="仿宋" w:hAnsi="仿宋" w:eastAsia="仿宋"/>
          <w:b w:val="0"/>
        </w:rPr>
        <w:t>二、收</w:t>
      </w:r>
      <w:r>
        <w:rPr>
          <w:rStyle w:val="18"/>
          <w:rFonts w:hint="eastAsia" w:ascii="仿宋" w:hAnsi="仿宋" w:eastAsia="仿宋"/>
          <w:b w:val="0"/>
          <w:bCs w:val="0"/>
        </w:rPr>
        <w:t>入总表</w:t>
      </w:r>
      <w:bookmarkEnd w:id="67"/>
    </w:p>
    <w:p w14:paraId="43F35DA6">
      <w:pPr>
        <w:pStyle w:val="3"/>
        <w:rPr>
          <w:rFonts w:ascii="仿宋" w:hAnsi="仿宋" w:eastAsia="仿宋"/>
        </w:rPr>
      </w:pPr>
      <w:bookmarkStart w:id="68" w:name="_Toc15396621"/>
      <w:r>
        <w:rPr>
          <w:rStyle w:val="18"/>
          <w:rFonts w:hint="eastAsia" w:ascii="仿宋" w:hAnsi="仿宋" w:eastAsia="仿宋"/>
          <w:b w:val="0"/>
          <w:bCs w:val="0"/>
        </w:rPr>
        <w:t>三、</w:t>
      </w:r>
      <w:r>
        <w:rPr>
          <w:rFonts w:hint="eastAsia" w:ascii="仿宋" w:hAnsi="仿宋" w:eastAsia="仿宋"/>
          <w:b w:val="0"/>
        </w:rPr>
        <w:t>支</w:t>
      </w:r>
      <w:r>
        <w:rPr>
          <w:rStyle w:val="18"/>
          <w:rFonts w:hint="eastAsia" w:ascii="仿宋" w:hAnsi="仿宋" w:eastAsia="仿宋"/>
          <w:b w:val="0"/>
          <w:bCs w:val="0"/>
        </w:rPr>
        <w:t>出总表</w:t>
      </w:r>
      <w:bookmarkEnd w:id="68"/>
    </w:p>
    <w:p w14:paraId="1E3FB6EC">
      <w:pPr>
        <w:pStyle w:val="3"/>
        <w:rPr>
          <w:rFonts w:ascii="仿宋" w:hAnsi="仿宋" w:eastAsia="仿宋"/>
          <w:b w:val="0"/>
        </w:rPr>
      </w:pPr>
      <w:bookmarkStart w:id="69" w:name="_Toc15396622"/>
      <w:r>
        <w:rPr>
          <w:rStyle w:val="18"/>
          <w:rFonts w:hint="eastAsia" w:ascii="仿宋" w:hAnsi="仿宋" w:eastAsia="仿宋"/>
          <w:b w:val="0"/>
          <w:bCs w:val="0"/>
        </w:rPr>
        <w:t>四、</w:t>
      </w:r>
      <w:r>
        <w:rPr>
          <w:rFonts w:hint="eastAsia" w:ascii="仿宋" w:hAnsi="仿宋" w:eastAsia="仿宋"/>
          <w:b w:val="0"/>
        </w:rPr>
        <w:t>财</w:t>
      </w:r>
      <w:r>
        <w:rPr>
          <w:rStyle w:val="18"/>
          <w:rFonts w:hint="eastAsia" w:ascii="仿宋" w:hAnsi="仿宋" w:eastAsia="仿宋"/>
          <w:b w:val="0"/>
          <w:bCs w:val="0"/>
        </w:rPr>
        <w:t>政拨款收入支出决算总表</w:t>
      </w:r>
      <w:bookmarkEnd w:id="69"/>
    </w:p>
    <w:p w14:paraId="4CCED58C">
      <w:pPr>
        <w:pStyle w:val="3"/>
        <w:rPr>
          <w:rFonts w:ascii="仿宋" w:hAnsi="仿宋" w:eastAsia="仿宋"/>
        </w:rPr>
      </w:pPr>
      <w:bookmarkStart w:id="70" w:name="_Toc15396623"/>
      <w:r>
        <w:rPr>
          <w:rStyle w:val="18"/>
          <w:rFonts w:hint="eastAsia" w:ascii="仿宋" w:hAnsi="仿宋" w:eastAsia="仿宋"/>
          <w:b w:val="0"/>
          <w:bCs w:val="0"/>
        </w:rPr>
        <w:t>五、</w:t>
      </w:r>
      <w:r>
        <w:rPr>
          <w:rFonts w:hint="eastAsia" w:ascii="仿宋" w:hAnsi="仿宋" w:eastAsia="仿宋"/>
          <w:b w:val="0"/>
        </w:rPr>
        <w:t>财</w:t>
      </w:r>
      <w:r>
        <w:rPr>
          <w:rStyle w:val="18"/>
          <w:rFonts w:hint="eastAsia" w:ascii="仿宋" w:hAnsi="仿宋" w:eastAsia="仿宋"/>
          <w:b w:val="0"/>
          <w:bCs w:val="0"/>
        </w:rPr>
        <w:t>政拨款支出决算明细表（政府经济分类科目）</w:t>
      </w:r>
      <w:bookmarkEnd w:id="70"/>
    </w:p>
    <w:p w14:paraId="5929CE81">
      <w:pPr>
        <w:pStyle w:val="3"/>
        <w:rPr>
          <w:rFonts w:ascii="仿宋" w:hAnsi="仿宋" w:eastAsia="仿宋"/>
        </w:rPr>
      </w:pPr>
      <w:bookmarkStart w:id="71" w:name="_Toc15396624"/>
      <w:r>
        <w:rPr>
          <w:rStyle w:val="18"/>
          <w:rFonts w:hint="eastAsia" w:ascii="仿宋" w:hAnsi="仿宋" w:eastAsia="仿宋"/>
          <w:b w:val="0"/>
          <w:bCs w:val="0"/>
        </w:rPr>
        <w:t>六、</w:t>
      </w:r>
      <w:r>
        <w:rPr>
          <w:rFonts w:hint="eastAsia" w:ascii="仿宋" w:hAnsi="仿宋" w:eastAsia="仿宋"/>
          <w:b w:val="0"/>
        </w:rPr>
        <w:t>一</w:t>
      </w:r>
      <w:r>
        <w:rPr>
          <w:rStyle w:val="18"/>
          <w:rFonts w:hint="eastAsia" w:ascii="仿宋" w:hAnsi="仿宋" w:eastAsia="仿宋"/>
          <w:b w:val="0"/>
          <w:bCs w:val="0"/>
        </w:rPr>
        <w:t>般公共预算财政拨款支出决算表</w:t>
      </w:r>
      <w:bookmarkEnd w:id="71"/>
    </w:p>
    <w:p w14:paraId="6438B66C">
      <w:pPr>
        <w:pStyle w:val="3"/>
        <w:rPr>
          <w:rFonts w:ascii="仿宋" w:hAnsi="仿宋" w:eastAsia="仿宋"/>
        </w:rPr>
      </w:pPr>
      <w:bookmarkStart w:id="72" w:name="_Toc15396625"/>
      <w:r>
        <w:rPr>
          <w:rStyle w:val="18"/>
          <w:rFonts w:hint="eastAsia" w:ascii="仿宋" w:hAnsi="仿宋" w:eastAsia="仿宋"/>
          <w:b w:val="0"/>
          <w:bCs w:val="0"/>
        </w:rPr>
        <w:t>七、</w:t>
      </w:r>
      <w:r>
        <w:rPr>
          <w:rFonts w:hint="eastAsia" w:ascii="仿宋" w:hAnsi="仿宋" w:eastAsia="仿宋"/>
          <w:b w:val="0"/>
        </w:rPr>
        <w:t>一</w:t>
      </w:r>
      <w:r>
        <w:rPr>
          <w:rStyle w:val="18"/>
          <w:rFonts w:hint="eastAsia" w:ascii="仿宋" w:hAnsi="仿宋" w:eastAsia="仿宋"/>
          <w:b w:val="0"/>
          <w:bCs w:val="0"/>
        </w:rPr>
        <w:t>般公共预算财政拨款支出决算明细表</w:t>
      </w:r>
      <w:bookmarkEnd w:id="72"/>
    </w:p>
    <w:p w14:paraId="5A6BC5F4">
      <w:pPr>
        <w:pStyle w:val="3"/>
        <w:rPr>
          <w:rFonts w:ascii="仿宋" w:hAnsi="仿宋" w:eastAsia="仿宋"/>
        </w:rPr>
      </w:pPr>
      <w:bookmarkStart w:id="73" w:name="_Toc15396626"/>
      <w:r>
        <w:rPr>
          <w:rStyle w:val="18"/>
          <w:rFonts w:hint="eastAsia" w:ascii="仿宋" w:hAnsi="仿宋" w:eastAsia="仿宋"/>
          <w:b w:val="0"/>
          <w:bCs w:val="0"/>
        </w:rPr>
        <w:t>八、</w:t>
      </w:r>
      <w:r>
        <w:rPr>
          <w:rFonts w:hint="eastAsia" w:ascii="仿宋" w:hAnsi="仿宋" w:eastAsia="仿宋"/>
          <w:b w:val="0"/>
        </w:rPr>
        <w:t>一</w:t>
      </w:r>
      <w:r>
        <w:rPr>
          <w:rStyle w:val="18"/>
          <w:rFonts w:hint="eastAsia" w:ascii="仿宋" w:hAnsi="仿宋" w:eastAsia="仿宋"/>
          <w:b w:val="0"/>
          <w:bCs w:val="0"/>
        </w:rPr>
        <w:t>般公共预算财政拨款基本支出决算表</w:t>
      </w:r>
      <w:bookmarkEnd w:id="73"/>
    </w:p>
    <w:p w14:paraId="342ACA2E">
      <w:pPr>
        <w:pStyle w:val="3"/>
        <w:rPr>
          <w:rFonts w:ascii="仿宋" w:hAnsi="仿宋" w:eastAsia="仿宋"/>
        </w:rPr>
      </w:pPr>
      <w:bookmarkStart w:id="74" w:name="_Toc15396627"/>
      <w:r>
        <w:rPr>
          <w:rStyle w:val="18"/>
          <w:rFonts w:hint="eastAsia" w:ascii="仿宋" w:hAnsi="仿宋" w:eastAsia="仿宋"/>
          <w:b w:val="0"/>
          <w:bCs w:val="0"/>
        </w:rPr>
        <w:t>九、</w:t>
      </w:r>
      <w:r>
        <w:rPr>
          <w:rFonts w:hint="eastAsia" w:ascii="仿宋" w:hAnsi="仿宋" w:eastAsia="仿宋"/>
          <w:b w:val="0"/>
        </w:rPr>
        <w:t>一</w:t>
      </w:r>
      <w:r>
        <w:rPr>
          <w:rStyle w:val="18"/>
          <w:rFonts w:hint="eastAsia" w:ascii="仿宋" w:hAnsi="仿宋" w:eastAsia="仿宋"/>
          <w:b w:val="0"/>
          <w:bCs w:val="0"/>
        </w:rPr>
        <w:t>般公共预算财政拨款项目支出决算表</w:t>
      </w:r>
      <w:bookmarkEnd w:id="74"/>
    </w:p>
    <w:p w14:paraId="7BE3C4A7">
      <w:pPr>
        <w:pStyle w:val="3"/>
        <w:rPr>
          <w:rFonts w:ascii="仿宋" w:hAnsi="仿宋" w:eastAsia="仿宋"/>
        </w:rPr>
      </w:pPr>
      <w:bookmarkStart w:id="75" w:name="_Toc15396628"/>
      <w:r>
        <w:rPr>
          <w:rStyle w:val="18"/>
          <w:rFonts w:hint="eastAsia" w:ascii="仿宋" w:hAnsi="仿宋" w:eastAsia="仿宋"/>
          <w:b w:val="0"/>
          <w:bCs w:val="0"/>
        </w:rPr>
        <w:t>十、</w:t>
      </w:r>
      <w:r>
        <w:rPr>
          <w:rFonts w:hint="eastAsia" w:ascii="仿宋" w:hAnsi="仿宋" w:eastAsia="仿宋"/>
          <w:b w:val="0"/>
        </w:rPr>
        <w:t>一</w:t>
      </w:r>
      <w:r>
        <w:rPr>
          <w:rStyle w:val="18"/>
          <w:rFonts w:hint="eastAsia" w:ascii="仿宋" w:hAnsi="仿宋" w:eastAsia="仿宋"/>
          <w:b w:val="0"/>
          <w:bCs w:val="0"/>
        </w:rPr>
        <w:t>般公共预算财政拨款“三公”经费支出决算表</w:t>
      </w:r>
      <w:bookmarkEnd w:id="75"/>
    </w:p>
    <w:p w14:paraId="71991A2E">
      <w:pPr>
        <w:pStyle w:val="3"/>
        <w:rPr>
          <w:rFonts w:ascii="仿宋" w:hAnsi="仿宋" w:eastAsia="仿宋"/>
        </w:rPr>
      </w:pPr>
      <w:bookmarkStart w:id="76" w:name="_Toc15396629"/>
      <w:r>
        <w:rPr>
          <w:rStyle w:val="18"/>
          <w:rFonts w:hint="eastAsia" w:ascii="仿宋" w:hAnsi="仿宋" w:eastAsia="仿宋"/>
          <w:b w:val="0"/>
          <w:bCs w:val="0"/>
        </w:rPr>
        <w:t>十一、</w:t>
      </w:r>
      <w:r>
        <w:rPr>
          <w:rFonts w:hint="eastAsia" w:ascii="仿宋" w:hAnsi="仿宋" w:eastAsia="仿宋"/>
          <w:b w:val="0"/>
        </w:rPr>
        <w:t>政</w:t>
      </w:r>
      <w:r>
        <w:rPr>
          <w:rStyle w:val="18"/>
          <w:rFonts w:hint="eastAsia" w:ascii="仿宋" w:hAnsi="仿宋" w:eastAsia="仿宋"/>
          <w:b w:val="0"/>
          <w:bCs w:val="0"/>
        </w:rPr>
        <w:t>府性基金预算财政拨款收入支出决算表</w:t>
      </w:r>
      <w:bookmarkEnd w:id="76"/>
    </w:p>
    <w:p w14:paraId="64E2E624">
      <w:pPr>
        <w:pStyle w:val="3"/>
        <w:rPr>
          <w:rFonts w:ascii="仿宋" w:hAnsi="仿宋" w:eastAsia="仿宋"/>
        </w:rPr>
      </w:pPr>
      <w:bookmarkStart w:id="77" w:name="_Toc15396630"/>
      <w:r>
        <w:rPr>
          <w:rStyle w:val="18"/>
          <w:rFonts w:hint="eastAsia" w:ascii="仿宋" w:hAnsi="仿宋" w:eastAsia="仿宋"/>
          <w:b w:val="0"/>
          <w:bCs w:val="0"/>
        </w:rPr>
        <w:t>十二、</w:t>
      </w:r>
      <w:r>
        <w:rPr>
          <w:rFonts w:hint="eastAsia" w:ascii="仿宋" w:hAnsi="仿宋" w:eastAsia="仿宋"/>
          <w:b w:val="0"/>
        </w:rPr>
        <w:t>政</w:t>
      </w:r>
      <w:r>
        <w:rPr>
          <w:rStyle w:val="18"/>
          <w:rFonts w:hint="eastAsia" w:ascii="仿宋" w:hAnsi="仿宋" w:eastAsia="仿宋"/>
          <w:b w:val="0"/>
          <w:bCs w:val="0"/>
        </w:rPr>
        <w:t>府性基金预算财政拨款“三公”经费支出决算表</w:t>
      </w:r>
      <w:bookmarkEnd w:id="77"/>
    </w:p>
    <w:p w14:paraId="16442C8A">
      <w:pPr>
        <w:pStyle w:val="3"/>
        <w:rPr>
          <w:rFonts w:ascii="仿宋" w:hAnsi="仿宋" w:eastAsia="仿宋"/>
        </w:rPr>
      </w:pPr>
      <w:bookmarkStart w:id="78" w:name="_Toc15396631"/>
      <w:r>
        <w:rPr>
          <w:rStyle w:val="18"/>
          <w:rFonts w:hint="eastAsia" w:ascii="仿宋" w:hAnsi="仿宋" w:eastAsia="仿宋"/>
          <w:b w:val="0"/>
          <w:bCs w:val="0"/>
        </w:rPr>
        <w:t>十三、</w:t>
      </w:r>
      <w:r>
        <w:rPr>
          <w:rFonts w:hint="eastAsia" w:ascii="仿宋" w:hAnsi="仿宋" w:eastAsia="仿宋"/>
          <w:b w:val="0"/>
        </w:rPr>
        <w:t>国</w:t>
      </w:r>
      <w:r>
        <w:rPr>
          <w:rStyle w:val="18"/>
          <w:rFonts w:hint="eastAsia" w:ascii="仿宋" w:hAnsi="仿宋" w:eastAsia="仿宋"/>
          <w:b w:val="0"/>
          <w:bCs w:val="0"/>
        </w:rPr>
        <w:t>有资本经营预算支出决算表</w:t>
      </w:r>
      <w:bookmarkEnd w:id="7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F32C">
    <w:pPr>
      <w:pStyle w:val="8"/>
      <w:jc w:val="center"/>
    </w:pPr>
    <w:r>
      <w:fldChar w:fldCharType="begin"/>
    </w:r>
    <w:r>
      <w:instrText xml:space="preserve">PAGE   \* MERGEFORMAT</w:instrText>
    </w:r>
    <w:r>
      <w:fldChar w:fldCharType="separate"/>
    </w:r>
    <w:r>
      <w:rPr>
        <w:lang w:val="zh-CN"/>
      </w:rPr>
      <w:t>17</w:t>
    </w:r>
    <w:r>
      <w:rPr>
        <w:lang w:val="zh-CN"/>
      </w:rPr>
      <w:fldChar w:fldCharType="end"/>
    </w:r>
  </w:p>
  <w:p w14:paraId="4170D6FD">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DA37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rPr>
        <w:rFonts w:cs="Times New Roman"/>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abstractNum w:abstractNumId="6">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50405"/>
    <w:rsid w:val="00057AD3"/>
    <w:rsid w:val="0006487A"/>
    <w:rsid w:val="00065F8F"/>
    <w:rsid w:val="000768F2"/>
    <w:rsid w:val="00077F56"/>
    <w:rsid w:val="00090754"/>
    <w:rsid w:val="0009184B"/>
    <w:rsid w:val="000932AD"/>
    <w:rsid w:val="0009340E"/>
    <w:rsid w:val="000943B8"/>
    <w:rsid w:val="0009445E"/>
    <w:rsid w:val="0009593C"/>
    <w:rsid w:val="000B047F"/>
    <w:rsid w:val="000B5923"/>
    <w:rsid w:val="000B5A48"/>
    <w:rsid w:val="000B6FF3"/>
    <w:rsid w:val="000C3467"/>
    <w:rsid w:val="000C3B68"/>
    <w:rsid w:val="000C3CA6"/>
    <w:rsid w:val="000D1267"/>
    <w:rsid w:val="000D1D50"/>
    <w:rsid w:val="000D5782"/>
    <w:rsid w:val="000E6613"/>
    <w:rsid w:val="000E7119"/>
    <w:rsid w:val="00114E9B"/>
    <w:rsid w:val="0014729F"/>
    <w:rsid w:val="00157BAB"/>
    <w:rsid w:val="001654D1"/>
    <w:rsid w:val="0018106D"/>
    <w:rsid w:val="001877A7"/>
    <w:rsid w:val="00191536"/>
    <w:rsid w:val="00196326"/>
    <w:rsid w:val="00196687"/>
    <w:rsid w:val="001C0962"/>
    <w:rsid w:val="001D7531"/>
    <w:rsid w:val="001E737D"/>
    <w:rsid w:val="001F0592"/>
    <w:rsid w:val="001F7506"/>
    <w:rsid w:val="002006CD"/>
    <w:rsid w:val="00202B36"/>
    <w:rsid w:val="00204B7A"/>
    <w:rsid w:val="0021101A"/>
    <w:rsid w:val="00220402"/>
    <w:rsid w:val="00220536"/>
    <w:rsid w:val="00235629"/>
    <w:rsid w:val="00237478"/>
    <w:rsid w:val="00260C38"/>
    <w:rsid w:val="00260D7B"/>
    <w:rsid w:val="002616C0"/>
    <w:rsid w:val="002662AA"/>
    <w:rsid w:val="00266922"/>
    <w:rsid w:val="002722B7"/>
    <w:rsid w:val="00280496"/>
    <w:rsid w:val="0029245E"/>
    <w:rsid w:val="00295495"/>
    <w:rsid w:val="002B2613"/>
    <w:rsid w:val="002D29F8"/>
    <w:rsid w:val="002D2ED6"/>
    <w:rsid w:val="002E291F"/>
    <w:rsid w:val="002F1818"/>
    <w:rsid w:val="002F35FC"/>
    <w:rsid w:val="002F567B"/>
    <w:rsid w:val="0030019D"/>
    <w:rsid w:val="00305E00"/>
    <w:rsid w:val="003133B8"/>
    <w:rsid w:val="003216A9"/>
    <w:rsid w:val="003237E4"/>
    <w:rsid w:val="0032600C"/>
    <w:rsid w:val="003267F0"/>
    <w:rsid w:val="0033349F"/>
    <w:rsid w:val="003629A9"/>
    <w:rsid w:val="0037013F"/>
    <w:rsid w:val="00380C92"/>
    <w:rsid w:val="003852AA"/>
    <w:rsid w:val="00393099"/>
    <w:rsid w:val="003A484F"/>
    <w:rsid w:val="003B0BE0"/>
    <w:rsid w:val="003B0C1B"/>
    <w:rsid w:val="003B688C"/>
    <w:rsid w:val="003C0291"/>
    <w:rsid w:val="003C39AE"/>
    <w:rsid w:val="003C3F7C"/>
    <w:rsid w:val="003C7B60"/>
    <w:rsid w:val="003D1FB2"/>
    <w:rsid w:val="003D496B"/>
    <w:rsid w:val="003D66DA"/>
    <w:rsid w:val="003E1310"/>
    <w:rsid w:val="003E6AF4"/>
    <w:rsid w:val="003E6F55"/>
    <w:rsid w:val="00405066"/>
    <w:rsid w:val="00406254"/>
    <w:rsid w:val="004066B1"/>
    <w:rsid w:val="004125AE"/>
    <w:rsid w:val="00416A7E"/>
    <w:rsid w:val="004201B5"/>
    <w:rsid w:val="004223DE"/>
    <w:rsid w:val="00434489"/>
    <w:rsid w:val="00437085"/>
    <w:rsid w:val="00443880"/>
    <w:rsid w:val="004464F4"/>
    <w:rsid w:val="00471401"/>
    <w:rsid w:val="00473F31"/>
    <w:rsid w:val="0048263A"/>
    <w:rsid w:val="00483E99"/>
    <w:rsid w:val="00486614"/>
    <w:rsid w:val="00487E5D"/>
    <w:rsid w:val="0049151E"/>
    <w:rsid w:val="004A711F"/>
    <w:rsid w:val="004B199D"/>
    <w:rsid w:val="004B4690"/>
    <w:rsid w:val="004C6EDD"/>
    <w:rsid w:val="004D45CB"/>
    <w:rsid w:val="004E0515"/>
    <w:rsid w:val="004E0A2D"/>
    <w:rsid w:val="004E206B"/>
    <w:rsid w:val="004E6DF7"/>
    <w:rsid w:val="004F0FBD"/>
    <w:rsid w:val="004F6C21"/>
    <w:rsid w:val="00505A47"/>
    <w:rsid w:val="00512FDA"/>
    <w:rsid w:val="00520DA0"/>
    <w:rsid w:val="00535152"/>
    <w:rsid w:val="00540A35"/>
    <w:rsid w:val="00543824"/>
    <w:rsid w:val="0055439E"/>
    <w:rsid w:val="00560413"/>
    <w:rsid w:val="005664BB"/>
    <w:rsid w:val="0057481D"/>
    <w:rsid w:val="00581D16"/>
    <w:rsid w:val="0058486E"/>
    <w:rsid w:val="00590286"/>
    <w:rsid w:val="00594DE0"/>
    <w:rsid w:val="005A30A5"/>
    <w:rsid w:val="005A74D9"/>
    <w:rsid w:val="005D1C8B"/>
    <w:rsid w:val="005D5CED"/>
    <w:rsid w:val="005E694E"/>
    <w:rsid w:val="005F0A21"/>
    <w:rsid w:val="005F1A4C"/>
    <w:rsid w:val="005F555B"/>
    <w:rsid w:val="005F7893"/>
    <w:rsid w:val="00600089"/>
    <w:rsid w:val="00605688"/>
    <w:rsid w:val="006070AF"/>
    <w:rsid w:val="00607E6C"/>
    <w:rsid w:val="006101B1"/>
    <w:rsid w:val="00614E44"/>
    <w:rsid w:val="00622830"/>
    <w:rsid w:val="00630AEF"/>
    <w:rsid w:val="0063207C"/>
    <w:rsid w:val="006325F8"/>
    <w:rsid w:val="00633CF7"/>
    <w:rsid w:val="00634C9A"/>
    <w:rsid w:val="00642209"/>
    <w:rsid w:val="006440E4"/>
    <w:rsid w:val="0066343B"/>
    <w:rsid w:val="00664777"/>
    <w:rsid w:val="006671DF"/>
    <w:rsid w:val="006748A4"/>
    <w:rsid w:val="00683E73"/>
    <w:rsid w:val="006867B0"/>
    <w:rsid w:val="006A3141"/>
    <w:rsid w:val="006A37F7"/>
    <w:rsid w:val="006A5E34"/>
    <w:rsid w:val="006B2422"/>
    <w:rsid w:val="006B2B9A"/>
    <w:rsid w:val="006C1356"/>
    <w:rsid w:val="006C1937"/>
    <w:rsid w:val="006D2A92"/>
    <w:rsid w:val="006F020C"/>
    <w:rsid w:val="007127B7"/>
    <w:rsid w:val="007416B6"/>
    <w:rsid w:val="00746F48"/>
    <w:rsid w:val="0075013F"/>
    <w:rsid w:val="0075404D"/>
    <w:rsid w:val="0076182A"/>
    <w:rsid w:val="007620B7"/>
    <w:rsid w:val="00767B7E"/>
    <w:rsid w:val="007770C3"/>
    <w:rsid w:val="00784D24"/>
    <w:rsid w:val="00785FBA"/>
    <w:rsid w:val="00786E4A"/>
    <w:rsid w:val="007875EB"/>
    <w:rsid w:val="0079426B"/>
    <w:rsid w:val="007D312A"/>
    <w:rsid w:val="007D38FD"/>
    <w:rsid w:val="007D3F19"/>
    <w:rsid w:val="007E23B0"/>
    <w:rsid w:val="007E4038"/>
    <w:rsid w:val="007F1991"/>
    <w:rsid w:val="007F2C2F"/>
    <w:rsid w:val="007F55FC"/>
    <w:rsid w:val="007F5665"/>
    <w:rsid w:val="00800112"/>
    <w:rsid w:val="008211F0"/>
    <w:rsid w:val="008253BB"/>
    <w:rsid w:val="0083146C"/>
    <w:rsid w:val="0083706E"/>
    <w:rsid w:val="008423A5"/>
    <w:rsid w:val="00850625"/>
    <w:rsid w:val="00850F4B"/>
    <w:rsid w:val="00853718"/>
    <w:rsid w:val="00855221"/>
    <w:rsid w:val="00857B6E"/>
    <w:rsid w:val="00860645"/>
    <w:rsid w:val="00871BA4"/>
    <w:rsid w:val="00871F71"/>
    <w:rsid w:val="0087719C"/>
    <w:rsid w:val="00885AF4"/>
    <w:rsid w:val="008939CD"/>
    <w:rsid w:val="008A545A"/>
    <w:rsid w:val="008A6FC5"/>
    <w:rsid w:val="008B768C"/>
    <w:rsid w:val="008C4DB1"/>
    <w:rsid w:val="008C4EAF"/>
    <w:rsid w:val="008C5176"/>
    <w:rsid w:val="008C7FD0"/>
    <w:rsid w:val="008D38E9"/>
    <w:rsid w:val="008E1DE7"/>
    <w:rsid w:val="008E63F4"/>
    <w:rsid w:val="008E707C"/>
    <w:rsid w:val="008F743A"/>
    <w:rsid w:val="008F77AA"/>
    <w:rsid w:val="00900B08"/>
    <w:rsid w:val="00902155"/>
    <w:rsid w:val="00902FA3"/>
    <w:rsid w:val="00921A40"/>
    <w:rsid w:val="00923564"/>
    <w:rsid w:val="0092392E"/>
    <w:rsid w:val="009315F9"/>
    <w:rsid w:val="00946945"/>
    <w:rsid w:val="00951248"/>
    <w:rsid w:val="0095152F"/>
    <w:rsid w:val="00954C49"/>
    <w:rsid w:val="0097099F"/>
    <w:rsid w:val="00971997"/>
    <w:rsid w:val="00971FFC"/>
    <w:rsid w:val="00982421"/>
    <w:rsid w:val="0098660A"/>
    <w:rsid w:val="00992DA9"/>
    <w:rsid w:val="009931C3"/>
    <w:rsid w:val="009B181A"/>
    <w:rsid w:val="009B2C43"/>
    <w:rsid w:val="009B429F"/>
    <w:rsid w:val="009B4EAE"/>
    <w:rsid w:val="009B7573"/>
    <w:rsid w:val="009C22F4"/>
    <w:rsid w:val="009C2E98"/>
    <w:rsid w:val="009C61DC"/>
    <w:rsid w:val="009D3447"/>
    <w:rsid w:val="009D368F"/>
    <w:rsid w:val="009D4711"/>
    <w:rsid w:val="009E15A5"/>
    <w:rsid w:val="009F1185"/>
    <w:rsid w:val="009F18CD"/>
    <w:rsid w:val="009F2A13"/>
    <w:rsid w:val="00A028FC"/>
    <w:rsid w:val="00A04EB0"/>
    <w:rsid w:val="00A06BB5"/>
    <w:rsid w:val="00A13CC1"/>
    <w:rsid w:val="00A16847"/>
    <w:rsid w:val="00A17BD6"/>
    <w:rsid w:val="00A237D8"/>
    <w:rsid w:val="00A252C6"/>
    <w:rsid w:val="00A268C4"/>
    <w:rsid w:val="00A307CD"/>
    <w:rsid w:val="00A40A00"/>
    <w:rsid w:val="00A4142F"/>
    <w:rsid w:val="00A56DF2"/>
    <w:rsid w:val="00A6322E"/>
    <w:rsid w:val="00A67142"/>
    <w:rsid w:val="00A67AB5"/>
    <w:rsid w:val="00A91760"/>
    <w:rsid w:val="00A93B00"/>
    <w:rsid w:val="00A93C21"/>
    <w:rsid w:val="00AC3C6A"/>
    <w:rsid w:val="00AD2129"/>
    <w:rsid w:val="00AD5620"/>
    <w:rsid w:val="00AD7C1B"/>
    <w:rsid w:val="00AE16BA"/>
    <w:rsid w:val="00AE1EBE"/>
    <w:rsid w:val="00AF583D"/>
    <w:rsid w:val="00B03C9D"/>
    <w:rsid w:val="00B060AE"/>
    <w:rsid w:val="00B10517"/>
    <w:rsid w:val="00B14E76"/>
    <w:rsid w:val="00B161B8"/>
    <w:rsid w:val="00B2048C"/>
    <w:rsid w:val="00B310B9"/>
    <w:rsid w:val="00B35F3F"/>
    <w:rsid w:val="00B36CBB"/>
    <w:rsid w:val="00B41FA7"/>
    <w:rsid w:val="00B425E0"/>
    <w:rsid w:val="00B440AA"/>
    <w:rsid w:val="00B44B70"/>
    <w:rsid w:val="00B46E3B"/>
    <w:rsid w:val="00B53C56"/>
    <w:rsid w:val="00B57FC9"/>
    <w:rsid w:val="00B66BBB"/>
    <w:rsid w:val="00B77EA6"/>
    <w:rsid w:val="00B81598"/>
    <w:rsid w:val="00B841F1"/>
    <w:rsid w:val="00B944D6"/>
    <w:rsid w:val="00BA5CF9"/>
    <w:rsid w:val="00BB172D"/>
    <w:rsid w:val="00BB4DF0"/>
    <w:rsid w:val="00BB59BF"/>
    <w:rsid w:val="00BC08B3"/>
    <w:rsid w:val="00BC289F"/>
    <w:rsid w:val="00BC39D6"/>
    <w:rsid w:val="00BC5361"/>
    <w:rsid w:val="00BC5460"/>
    <w:rsid w:val="00BC6B50"/>
    <w:rsid w:val="00BD0E25"/>
    <w:rsid w:val="00BD64B5"/>
    <w:rsid w:val="00BE70E5"/>
    <w:rsid w:val="00BF5BD6"/>
    <w:rsid w:val="00C03E31"/>
    <w:rsid w:val="00C254CD"/>
    <w:rsid w:val="00C3333A"/>
    <w:rsid w:val="00C33E72"/>
    <w:rsid w:val="00C354B2"/>
    <w:rsid w:val="00C35554"/>
    <w:rsid w:val="00C42709"/>
    <w:rsid w:val="00C533CC"/>
    <w:rsid w:val="00C5751C"/>
    <w:rsid w:val="00C61BFC"/>
    <w:rsid w:val="00C62B85"/>
    <w:rsid w:val="00C64724"/>
    <w:rsid w:val="00C65438"/>
    <w:rsid w:val="00C91CBB"/>
    <w:rsid w:val="00CA62D0"/>
    <w:rsid w:val="00CA6947"/>
    <w:rsid w:val="00CB3181"/>
    <w:rsid w:val="00CC09B6"/>
    <w:rsid w:val="00CC666F"/>
    <w:rsid w:val="00CD1E3F"/>
    <w:rsid w:val="00CE44F6"/>
    <w:rsid w:val="00CE49DA"/>
    <w:rsid w:val="00CE7B61"/>
    <w:rsid w:val="00D00095"/>
    <w:rsid w:val="00D13EA1"/>
    <w:rsid w:val="00D20620"/>
    <w:rsid w:val="00D212CA"/>
    <w:rsid w:val="00D26091"/>
    <w:rsid w:val="00D3139F"/>
    <w:rsid w:val="00D34E7C"/>
    <w:rsid w:val="00D35489"/>
    <w:rsid w:val="00D51276"/>
    <w:rsid w:val="00D7035F"/>
    <w:rsid w:val="00D9099D"/>
    <w:rsid w:val="00DA65AC"/>
    <w:rsid w:val="00DB0F51"/>
    <w:rsid w:val="00DB1913"/>
    <w:rsid w:val="00DC17DA"/>
    <w:rsid w:val="00DC410D"/>
    <w:rsid w:val="00DC68CA"/>
    <w:rsid w:val="00DC7CBA"/>
    <w:rsid w:val="00DD6209"/>
    <w:rsid w:val="00DD73B7"/>
    <w:rsid w:val="00DE0959"/>
    <w:rsid w:val="00DE67D4"/>
    <w:rsid w:val="00DF28BC"/>
    <w:rsid w:val="00DF34B9"/>
    <w:rsid w:val="00E01053"/>
    <w:rsid w:val="00E07ACF"/>
    <w:rsid w:val="00E276FD"/>
    <w:rsid w:val="00E331A1"/>
    <w:rsid w:val="00E33202"/>
    <w:rsid w:val="00E336A9"/>
    <w:rsid w:val="00E50624"/>
    <w:rsid w:val="00E568DF"/>
    <w:rsid w:val="00E64269"/>
    <w:rsid w:val="00E67009"/>
    <w:rsid w:val="00E77382"/>
    <w:rsid w:val="00E82267"/>
    <w:rsid w:val="00E85599"/>
    <w:rsid w:val="00EA010F"/>
    <w:rsid w:val="00EB7D3B"/>
    <w:rsid w:val="00ED1B63"/>
    <w:rsid w:val="00ED3C1F"/>
    <w:rsid w:val="00ED4085"/>
    <w:rsid w:val="00ED420E"/>
    <w:rsid w:val="00EE2F57"/>
    <w:rsid w:val="00EF1E51"/>
    <w:rsid w:val="00EF4C34"/>
    <w:rsid w:val="00EF77C6"/>
    <w:rsid w:val="00F05438"/>
    <w:rsid w:val="00F1361C"/>
    <w:rsid w:val="00F160C7"/>
    <w:rsid w:val="00F215D4"/>
    <w:rsid w:val="00F33DA0"/>
    <w:rsid w:val="00F35E53"/>
    <w:rsid w:val="00F36D8F"/>
    <w:rsid w:val="00F417B1"/>
    <w:rsid w:val="00F419D6"/>
    <w:rsid w:val="00F602DF"/>
    <w:rsid w:val="00F81FD9"/>
    <w:rsid w:val="00F841AA"/>
    <w:rsid w:val="00FA1442"/>
    <w:rsid w:val="00FA23E8"/>
    <w:rsid w:val="00FA6A30"/>
    <w:rsid w:val="00FD13FC"/>
    <w:rsid w:val="00FD3CC1"/>
    <w:rsid w:val="00FE3512"/>
    <w:rsid w:val="00FF1E02"/>
    <w:rsid w:val="00FF30B4"/>
    <w:rsid w:val="01D17067"/>
    <w:rsid w:val="10C055FF"/>
    <w:rsid w:val="16BB723D"/>
    <w:rsid w:val="240371BF"/>
    <w:rsid w:val="29FD04D3"/>
    <w:rsid w:val="319F7F4E"/>
    <w:rsid w:val="7ED72DD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24"/>
      <w:szCs w:val="20"/>
    </w:rPr>
  </w:style>
  <w:style w:type="paragraph" w:styleId="6">
    <w:name w:val="toc 3"/>
    <w:basedOn w:val="1"/>
    <w:next w:val="1"/>
    <w:autoRedefine/>
    <w:uiPriority w:val="99"/>
    <w:pPr>
      <w:tabs>
        <w:tab w:val="right" w:leader="dot" w:pos="8296"/>
      </w:tabs>
      <w:ind w:left="840" w:leftChars="400"/>
    </w:pPr>
  </w:style>
  <w:style w:type="paragraph" w:styleId="7">
    <w:name w:val="Balloon Text"/>
    <w:basedOn w:val="1"/>
    <w:link w:val="29"/>
    <w:semiHidden/>
    <w:uiPriority w:val="99"/>
    <w:rPr>
      <w:sz w:val="18"/>
      <w:szCs w:val="18"/>
    </w:rPr>
  </w:style>
  <w:style w:type="paragraph" w:styleId="8">
    <w:name w:val="footer"/>
    <w:basedOn w:val="1"/>
    <w:link w:val="24"/>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autoRedefine/>
    <w:uiPriority w:val="99"/>
    <w:pPr>
      <w:tabs>
        <w:tab w:val="right" w:leader="dot" w:pos="8296"/>
      </w:tabs>
      <w:spacing w:before="93"/>
      <w:jc w:val="center"/>
    </w:pPr>
    <w:rPr>
      <w:rFonts w:ascii="仿宋" w:hAnsi="仿宋" w:eastAsia="仿宋"/>
      <w:sz w:val="28"/>
      <w:szCs w:val="28"/>
    </w:rPr>
  </w:style>
  <w:style w:type="paragraph" w:styleId="11">
    <w:name w:val="toc 2"/>
    <w:basedOn w:val="1"/>
    <w:next w:val="1"/>
    <w:autoRedefine/>
    <w:uiPriority w:val="99"/>
    <w:pPr>
      <w:tabs>
        <w:tab w:val="right" w:leader="dot" w:pos="8296"/>
      </w:tabs>
      <w:ind w:left="420" w:leftChars="200"/>
    </w:pPr>
    <w:rPr>
      <w:rFonts w:ascii="仿宋" w:hAnsi="仿宋" w:eastAsia="仿宋"/>
      <w:sz w:val="28"/>
      <w:szCs w:val="28"/>
    </w:rPr>
  </w:style>
  <w:style w:type="character" w:styleId="14">
    <w:name w:val="Strong"/>
    <w:basedOn w:val="13"/>
    <w:qFormat/>
    <w:uiPriority w:val="99"/>
    <w:rPr>
      <w:rFonts w:cs="Times New Roman"/>
      <w:b/>
    </w:rPr>
  </w:style>
  <w:style w:type="character" w:styleId="15">
    <w:name w:val="Emphasis"/>
    <w:basedOn w:val="13"/>
    <w:qFormat/>
    <w:locked/>
    <w:uiPriority w:val="20"/>
  </w:style>
  <w:style w:type="character" w:styleId="16">
    <w:name w:val="Hyperlink"/>
    <w:basedOn w:val="13"/>
    <w:uiPriority w:val="99"/>
    <w:rPr>
      <w:rFonts w:cs="Times New Roman"/>
      <w:color w:val="0000FF"/>
      <w:u w:val="single"/>
    </w:rPr>
  </w:style>
  <w:style w:type="character" w:customStyle="1" w:styleId="17">
    <w:name w:val="标题 1 Char"/>
    <w:basedOn w:val="13"/>
    <w:link w:val="2"/>
    <w:qFormat/>
    <w:locked/>
    <w:uiPriority w:val="99"/>
    <w:rPr>
      <w:rFonts w:ascii="Times New Roman" w:hAnsi="Times New Roman" w:cs="Times New Roman"/>
      <w:b/>
      <w:bCs/>
      <w:kern w:val="44"/>
      <w:sz w:val="44"/>
      <w:szCs w:val="44"/>
    </w:rPr>
  </w:style>
  <w:style w:type="character" w:customStyle="1" w:styleId="18">
    <w:name w:val="标题 2 Char"/>
    <w:basedOn w:val="13"/>
    <w:link w:val="3"/>
    <w:locked/>
    <w:uiPriority w:val="99"/>
    <w:rPr>
      <w:rFonts w:ascii="Cambria" w:hAnsi="Cambria" w:eastAsia="宋体" w:cs="Times New Roman"/>
      <w:b/>
      <w:bCs/>
      <w:kern w:val="2"/>
      <w:sz w:val="32"/>
      <w:szCs w:val="32"/>
    </w:rPr>
  </w:style>
  <w:style w:type="character" w:customStyle="1" w:styleId="19">
    <w:name w:val="标题 3 Char"/>
    <w:basedOn w:val="13"/>
    <w:link w:val="4"/>
    <w:locked/>
    <w:uiPriority w:val="99"/>
    <w:rPr>
      <w:rFonts w:ascii="Times New Roman" w:hAnsi="Times New Roman" w:cs="Times New Roman"/>
      <w:b/>
      <w:bCs/>
      <w:kern w:val="2"/>
      <w:sz w:val="32"/>
      <w:szCs w:val="32"/>
    </w:rPr>
  </w:style>
  <w:style w:type="character" w:customStyle="1" w:styleId="20">
    <w:name w:val="Body Text Char"/>
    <w:basedOn w:val="13"/>
    <w:link w:val="5"/>
    <w:semiHidden/>
    <w:locked/>
    <w:uiPriority w:val="99"/>
    <w:rPr>
      <w:rFonts w:ascii="Times New Roman" w:hAnsi="Times New Roman" w:cs="Times New Roman"/>
      <w:sz w:val="24"/>
      <w:szCs w:val="24"/>
    </w:rPr>
  </w:style>
  <w:style w:type="character" w:customStyle="1" w:styleId="21">
    <w:name w:val="Footer Char"/>
    <w:basedOn w:val="13"/>
    <w:link w:val="8"/>
    <w:semiHidden/>
    <w:qFormat/>
    <w:locked/>
    <w:uiPriority w:val="99"/>
    <w:rPr>
      <w:rFonts w:ascii="Times New Roman" w:hAnsi="Times New Roman" w:cs="Times New Roman"/>
      <w:sz w:val="18"/>
      <w:szCs w:val="18"/>
    </w:rPr>
  </w:style>
  <w:style w:type="character" w:customStyle="1" w:styleId="22">
    <w:name w:val="Header Char"/>
    <w:basedOn w:val="13"/>
    <w:link w:val="9"/>
    <w:semiHidden/>
    <w:qFormat/>
    <w:locked/>
    <w:uiPriority w:val="99"/>
    <w:rPr>
      <w:rFonts w:ascii="Times New Roman" w:hAnsi="Times New Roman" w:cs="Times New Roman"/>
      <w:sz w:val="18"/>
      <w:szCs w:val="18"/>
    </w:rPr>
  </w:style>
  <w:style w:type="character" w:customStyle="1" w:styleId="23">
    <w:name w:val="页眉 Char"/>
    <w:link w:val="9"/>
    <w:semiHidden/>
    <w:qFormat/>
    <w:locked/>
    <w:uiPriority w:val="99"/>
    <w:rPr>
      <w:sz w:val="18"/>
    </w:rPr>
  </w:style>
  <w:style w:type="character" w:customStyle="1" w:styleId="24">
    <w:name w:val="页脚 Char"/>
    <w:link w:val="8"/>
    <w:locked/>
    <w:uiPriority w:val="99"/>
    <w:rPr>
      <w:sz w:val="18"/>
    </w:rPr>
  </w:style>
  <w:style w:type="character" w:customStyle="1" w:styleId="25">
    <w:name w:val="正文文本 Char"/>
    <w:link w:val="5"/>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9">
    <w:name w:val="批注框文本 Char"/>
    <w:basedOn w:val="13"/>
    <w:link w:val="7"/>
    <w:semiHidden/>
    <w:qFormat/>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6"/>
    <customShpInfo spid="_x0000_s1029"/>
    <customShpInfo spid="_x0000_s1030"/>
    <customShpInfo spid="_x0000_s1038"/>
    <customShpInfo spid="_x0000_s1032"/>
    <customShpInfo spid="_x0000_s1033"/>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12642</Words>
  <Characters>13816</Characters>
  <Lines>118</Lines>
  <Paragraphs>33</Paragraphs>
  <TotalTime>0</TotalTime>
  <ScaleCrop>false</ScaleCrop>
  <LinksUpToDate>false</LinksUpToDate>
  <CharactersWithSpaces>14013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2019-09-09T05:47:00Z</dcterms:created>
  <dc:creator>张彬茜</dc:creator>
  <cp:lastModifiedBy>ly</cp:lastModifiedBy>
  <cp:lastPrinted>2019-08-01T00:48:00Z</cp:lastPrinted>
  <dcterms:modified xsi:type="dcterms:W3CDTF">2025-02-06T00:45:16Z</dcterms:modified>
  <dc:title>四川省***</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0C75B39EDA474695BD1BB188DF602C54_12</vt:lpwstr>
  </property>
  <property fmtid="{D5CDD505-2E9C-101B-9397-08002B2CF9AE}" pid="4" name="KSOTemplateDocerSaveRecord">
    <vt:lpwstr>eyJoZGlkIjoiODIwYTYzODk4MzliNTdlNDBhOWE5MTBhMDMxYjAwOGEiLCJ1c2VySWQiOiI0NDE3MjU5MjgifQ==</vt:lpwstr>
  </property>
</Properties>
</file>