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专项预算项目支出绩效自评报告</w:t>
      </w:r>
    </w:p>
    <w:p>
      <w:pPr>
        <w:spacing w:line="560" w:lineRule="exact"/>
        <w:jc w:val="center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（自然灾害综合风险普查）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一、项目概况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（一）项目基本情况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2021年，我局将遂宁市地质灾害风险调查作为一个子项纳入《遂宁市地质灾害防治规划（2021-2025年）编制工作项目》，委托四川国祥招标代理有限公司对项目进行竞争性磋商采购，委托供应商编制《遂宁市地质灾害调查报告（2021年）》、各县（市、区）《地灾灾害防治规划（2021-2025）》、市级（1：5万）地质灾害风险区划图件、市级（1：5万）防治区划图件、市级地质灾害风险防治区划方案报告。特此申请自然灾害综合风险普查经费3万元，对前期地质灾害风险调查进行宣传培训，发放宣传资料，让群众知晓防灾避险知识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（二）项目绩效目标。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对开展的地质灾害风险普查进行宣传培训，发放宣传资料5000份，受威胁群众宣传覆盖率90%，让群众知晓防灾避险知识。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（三）项目自评步骤及方法。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该项目按照2023年市级专项预算项目支出绩效评价指标体系进行自评，以项目决策、项目实施、完成结果等各项指标是否达到为依据，自评得分94分。 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（一）项目资金申报及批复情况。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2022年年底，市财政局给我局下达3万元作为自然灾害风险普查的专项经费预算。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（二）资金计划、到位及使用情况（可用表格形式反映）。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871"/>
        <w:gridCol w:w="1960"/>
        <w:gridCol w:w="2133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序号</w:t>
            </w:r>
          </w:p>
        </w:tc>
        <w:tc>
          <w:tcPr>
            <w:tcW w:w="191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资金计划（万元）</w:t>
            </w:r>
          </w:p>
        </w:tc>
        <w:tc>
          <w:tcPr>
            <w:tcW w:w="201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资金来源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下达资金（万元）</w:t>
            </w:r>
          </w:p>
        </w:tc>
        <w:tc>
          <w:tcPr>
            <w:tcW w:w="225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实际拨付资金（万元）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3</w:t>
            </w:r>
          </w:p>
        </w:tc>
        <w:tc>
          <w:tcPr>
            <w:tcW w:w="201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黑体" w:cs="Times New Roman"/>
                <w:szCs w:val="21"/>
                <w:lang w:val="zh-CN"/>
              </w:rPr>
              <w:t>市级专项资金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3</w:t>
            </w:r>
          </w:p>
        </w:tc>
        <w:tc>
          <w:tcPr>
            <w:tcW w:w="225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0</w:t>
            </w:r>
          </w:p>
        </w:tc>
      </w:tr>
    </w:tbl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（三）项目财务管理情况。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严格按照项目实施方案的批复要求，“专款专用”的原则，凭证报销。项目资金由局财务科统一管理，统筹安排使用。按项目进度安排资金，严格实行资金管理报账制，从未挪作他用。自觉接受财政、审计等部门的资金使用审计、监督和指导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目前已对开展的地质灾害风险普查进行宣传培训，发放宣传资料5000余份，让群众知晓防灾避险知识。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四、项目绩效情况</w:t>
      </w:r>
      <w:r>
        <w:rPr>
          <w:rFonts w:ascii="Times New Roman" w:hAnsi="Times New Roman" w:eastAsia="黑体" w:cs="Times New Roman"/>
          <w:sz w:val="32"/>
          <w:szCs w:val="32"/>
        </w:rPr>
        <w:tab/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（一）项目完成情况。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对开展的地质灾害风险普查进行宣传培训，发放宣传资料5000份，受威胁群众宣传覆盖率90%，让群众知晓防灾避险知识。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（二）项目效益情况。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提升了公众安全避险能力。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（一）评价结论。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经全面梳理自查，自评得分为94分。项目将严格按照法律法规和政策规定的程序，实现较好的经济和社会效益。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（二）存在的问题。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无。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 w:cs="Times New Roman"/>
          <w:sz w:val="32"/>
          <w:szCs w:val="32"/>
          <w:lang w:val="zh-CN"/>
        </w:rPr>
      </w:pPr>
      <w:r>
        <w:rPr>
          <w:rFonts w:ascii="Times New Roman" w:hAnsi="Times New Roman" w:eastAsia="楷体" w:cs="Times New Roman"/>
          <w:sz w:val="32"/>
          <w:szCs w:val="32"/>
          <w:lang w:val="zh-CN"/>
        </w:rPr>
        <w:t>（三）相关建议。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无。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附件：专项预算项目支出绩效自评表（自然灾害综合风险普</w:t>
      </w:r>
    </w:p>
    <w:p>
      <w:pPr>
        <w:spacing w:line="560" w:lineRule="exact"/>
        <w:ind w:firstLine="1600" w:firstLineChars="5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查）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遂宁市自然资源和规划局</w:t>
      </w:r>
    </w:p>
    <w:p>
      <w:pPr>
        <w:spacing w:line="560" w:lineRule="exact"/>
        <w:ind w:firstLine="640" w:firstLineChars="20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"/>
        </w:rPr>
        <w:t>3</w:t>
      </w:r>
      <w:bookmarkStart w:id="0" w:name="_GoBack"/>
      <w:bookmarkEnd w:id="0"/>
      <w:r>
        <w:rPr>
          <w:rFonts w:ascii="Times New Roman" w:hAnsi="Times New Roman" w:eastAsia="仿宋" w:cs="Times New Roman"/>
          <w:sz w:val="32"/>
          <w:szCs w:val="32"/>
        </w:rPr>
        <w:t>年3月28日</w:t>
      </w:r>
    </w:p>
    <w:sectPr>
      <w:footerReference r:id="rId3" w:type="default"/>
      <w:footerReference r:id="rId4" w:type="even"/>
      <w:pgSz w:w="11906" w:h="16838"/>
      <w:pgMar w:top="1985" w:right="1361" w:bottom="1361" w:left="1701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835419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3 -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29034147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2 -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F7"/>
    <w:rsid w:val="000F3307"/>
    <w:rsid w:val="00317F64"/>
    <w:rsid w:val="004D5B4A"/>
    <w:rsid w:val="00522FF5"/>
    <w:rsid w:val="008067D0"/>
    <w:rsid w:val="008A51C2"/>
    <w:rsid w:val="008E0694"/>
    <w:rsid w:val="00AD29F6"/>
    <w:rsid w:val="00AF552D"/>
    <w:rsid w:val="00B202A6"/>
    <w:rsid w:val="00C43D3F"/>
    <w:rsid w:val="00DA584C"/>
    <w:rsid w:val="00E2634E"/>
    <w:rsid w:val="00E375C2"/>
    <w:rsid w:val="00E66E3B"/>
    <w:rsid w:val="00EF5AF7"/>
    <w:rsid w:val="00F852F5"/>
    <w:rsid w:val="00FA6E1A"/>
    <w:rsid w:val="1EAC9801"/>
    <w:rsid w:val="3F9626C9"/>
    <w:rsid w:val="4BFD0A45"/>
    <w:rsid w:val="4FE93F5D"/>
    <w:rsid w:val="5B37E8B7"/>
    <w:rsid w:val="5B5F2328"/>
    <w:rsid w:val="5CFAD38B"/>
    <w:rsid w:val="5D7F3745"/>
    <w:rsid w:val="5F5A1EA8"/>
    <w:rsid w:val="67CE4DA0"/>
    <w:rsid w:val="6FFD4644"/>
    <w:rsid w:val="757B8F5D"/>
    <w:rsid w:val="77EEC36B"/>
    <w:rsid w:val="77FF4D4C"/>
    <w:rsid w:val="7BDF0ACD"/>
    <w:rsid w:val="7BFD6902"/>
    <w:rsid w:val="7DAD660F"/>
    <w:rsid w:val="7FBEC6E9"/>
    <w:rsid w:val="AFDD8429"/>
    <w:rsid w:val="B9363F88"/>
    <w:rsid w:val="BADB5A82"/>
    <w:rsid w:val="BDF5E974"/>
    <w:rsid w:val="CFFDF045"/>
    <w:rsid w:val="D3DEA3D2"/>
    <w:rsid w:val="DE5F0D44"/>
    <w:rsid w:val="DEF2DB24"/>
    <w:rsid w:val="DFEEFA3A"/>
    <w:rsid w:val="E5FF17C3"/>
    <w:rsid w:val="E9F66C7E"/>
    <w:rsid w:val="EEBFB169"/>
    <w:rsid w:val="EFD589A8"/>
    <w:rsid w:val="F6E8D087"/>
    <w:rsid w:val="F6FE01B5"/>
    <w:rsid w:val="F7DF25DF"/>
    <w:rsid w:val="FBB2D5EF"/>
    <w:rsid w:val="FBDFA7D2"/>
    <w:rsid w:val="FEE78AF2"/>
    <w:rsid w:val="FEEAA7F5"/>
    <w:rsid w:val="FEEC5D33"/>
    <w:rsid w:val="FFCF111F"/>
    <w:rsid w:val="FFF7E420"/>
    <w:rsid w:val="FFFC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160</Words>
  <Characters>914</Characters>
  <Lines>7</Lines>
  <Paragraphs>2</Paragraphs>
  <TotalTime>229</TotalTime>
  <ScaleCrop>false</ScaleCrop>
  <LinksUpToDate>false</LinksUpToDate>
  <CharactersWithSpaces>1072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2022-03-20T10:54:00Z</dcterms:created>
  <dc:creator>Administrator</dc:creator>
  <cp:lastModifiedBy>user</cp:lastModifiedBy>
  <cp:lastPrinted>2022-03-20T10:54:00Z</cp:lastPrinted>
  <dcterms:modified xsi:type="dcterms:W3CDTF">2023-04-21T10:22:44Z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