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AAB14">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475"/>
      <w:bookmarkStart w:id="1" w:name="_Toc15377425"/>
      <w:bookmarkStart w:id="2" w:name="_Toc15377193"/>
      <w:bookmarkStart w:id="3" w:name="_Toc15396597"/>
      <w:bookmarkStart w:id="4" w:name="_Toc15378441"/>
      <w:bookmarkStart w:id="5" w:name="_Toc15306267"/>
    </w:p>
    <w:p w14:paraId="535BD842">
      <w:pPr>
        <w:spacing w:line="600" w:lineRule="exact"/>
        <w:jc w:val="center"/>
        <w:outlineLvl w:val="0"/>
        <w:rPr>
          <w:rFonts w:ascii="方正小标宋简体" w:hAnsi="宋体" w:eastAsia="方正小标宋简体"/>
          <w:color w:val="auto"/>
          <w:sz w:val="72"/>
          <w:szCs w:val="72"/>
          <w:highlight w:val="none"/>
        </w:rPr>
      </w:pPr>
    </w:p>
    <w:p w14:paraId="01965836">
      <w:pPr>
        <w:spacing w:line="600" w:lineRule="exact"/>
        <w:jc w:val="center"/>
        <w:outlineLvl w:val="0"/>
        <w:rPr>
          <w:rFonts w:ascii="方正小标宋简体" w:hAnsi="宋体" w:eastAsia="方正小标宋简体"/>
          <w:color w:val="auto"/>
          <w:sz w:val="72"/>
          <w:szCs w:val="72"/>
          <w:highlight w:val="none"/>
        </w:rPr>
      </w:pPr>
    </w:p>
    <w:p w14:paraId="580B4C19">
      <w:pPr>
        <w:spacing w:line="600" w:lineRule="exact"/>
        <w:jc w:val="center"/>
        <w:outlineLvl w:val="0"/>
        <w:rPr>
          <w:rFonts w:ascii="方正小标宋简体" w:hAnsi="宋体" w:eastAsia="方正小标宋简体"/>
          <w:color w:val="auto"/>
          <w:sz w:val="72"/>
          <w:szCs w:val="72"/>
          <w:highlight w:val="none"/>
        </w:rPr>
      </w:pPr>
    </w:p>
    <w:p w14:paraId="025FC0D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77159B3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7194"/>
      <w:bookmarkStart w:id="7" w:name="_Toc15396476"/>
      <w:bookmarkStart w:id="8" w:name="_Toc15377426"/>
      <w:bookmarkStart w:id="9" w:name="_Toc15396598"/>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遂宁经济技术开发区自然资源和规划中心</w:t>
      </w:r>
    </w:p>
    <w:p w14:paraId="4DAC053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1188096E">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5BBBB85C">
      <w:pPr>
        <w:widowControl/>
        <w:jc w:val="center"/>
        <w:rPr>
          <w:rFonts w:ascii="黑体" w:hAnsi="黑体" w:eastAsia="黑体" w:cstheme="minorBidi"/>
          <w:color w:val="auto"/>
          <w:sz w:val="28"/>
          <w:szCs w:val="28"/>
          <w:highlight w:val="none"/>
        </w:rPr>
      </w:pPr>
    </w:p>
    <w:p w14:paraId="738FEC9A">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p>
    <w:p w14:paraId="76927341">
      <w:pPr>
        <w:rPr>
          <w:color w:val="auto"/>
          <w:highlight w:val="none"/>
        </w:rPr>
      </w:pPr>
    </w:p>
    <w:p w14:paraId="4D2C9F0C">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178DC9F5">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一、基本职能及主要工作</w:t>
      </w:r>
    </w:p>
    <w:p w14:paraId="51C16040">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二、机构设置</w:t>
      </w:r>
    </w:p>
    <w:p w14:paraId="12AB8BB4">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p>
    <w:p w14:paraId="443D6F21">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14:paraId="3904EC2C">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14:paraId="05D10788">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14:paraId="135D278D">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14:paraId="2FFC291E">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14:paraId="398D9E5E">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14:paraId="5D2858E8">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14:paraId="4385EC71">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14:paraId="3E0F2C11">
      <w:pPr>
        <w:pStyle w:val="11"/>
        <w:adjustRightInd w:val="0"/>
        <w:snapToGrid w:val="0"/>
        <w:spacing w:line="440" w:lineRule="exact"/>
        <w:ind w:left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p>
    <w:p w14:paraId="40588BD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6"/>
          <w:rFonts w:hint="eastAsia" w:asciiTheme="minorEastAsia" w:hAnsiTheme="minorEastAsia" w:eastAsiaTheme="minorEastAsia" w:cstheme="minorEastAsia"/>
          <w:color w:val="auto"/>
          <w:sz w:val="24"/>
          <w:highlight w:val="none"/>
          <w:u w:val="none"/>
          <w:lang w:eastAsia="zh-CN"/>
        </w:rPr>
        <w:t>十</w:t>
      </w:r>
      <w:r>
        <w:rPr>
          <w:rStyle w:val="16"/>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p>
    <w:p w14:paraId="40780A5B">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0659C03A">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249524E0">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32416377">
      <w:pPr>
        <w:pStyle w:val="11"/>
        <w:adjustRightInd w:val="0"/>
        <w:snapToGrid w:val="0"/>
        <w:spacing w:line="44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14:paraId="7B02ACB4">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14:paraId="1FC85069">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14:paraId="2ED12A16">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14:paraId="21205087">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14:paraId="475C2FC5">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14:paraId="625EB4FF">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14:paraId="2CF93553">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14:paraId="4624E8C0">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14:paraId="78EEEFA3">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14:paraId="7B2F2F95">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14:paraId="59E49703">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14:paraId="182C8C0C">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14:paraId="0FD7BBA4">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14:paraId="45DDA022">
      <w:pPr>
        <w:pStyle w:val="3"/>
        <w:jc w:val="center"/>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bookmarkStart w:id="12" w:name="_Toc15377196"/>
      <w:bookmarkStart w:id="13" w:name="_Toc15396599"/>
    </w:p>
    <w:p w14:paraId="768434AB">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14:paraId="3544B6B5">
      <w:pPr>
        <w:widowControl/>
        <w:jc w:val="left"/>
        <w:rPr>
          <w:rFonts w:ascii="黑体" w:eastAsia="黑体"/>
          <w:color w:val="auto"/>
          <w:sz w:val="32"/>
          <w:szCs w:val="32"/>
          <w:highlight w:val="none"/>
        </w:rPr>
      </w:pPr>
    </w:p>
    <w:p w14:paraId="2A0B0735">
      <w:pPr>
        <w:pStyle w:val="4"/>
        <w:rPr>
          <w:rStyle w:val="27"/>
          <w:rFonts w:ascii="仿宋" w:hAnsi="仿宋" w:eastAsia="仿宋"/>
          <w:b w:val="0"/>
          <w:bCs w:val="0"/>
          <w:color w:val="auto"/>
          <w:highlight w:val="none"/>
        </w:rPr>
      </w:pPr>
      <w:bookmarkStart w:id="14" w:name="_Toc15377197"/>
      <w:bookmarkStart w:id="15" w:name="_Toc15396600"/>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14"/>
      <w:bookmarkEnd w:id="15"/>
    </w:p>
    <w:p w14:paraId="4D728CD5">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6" w:name="_Toc15377198"/>
      <w:bookmarkStart w:id="17" w:name="_Toc15378445"/>
      <w:r>
        <w:rPr>
          <w:rFonts w:hint="eastAsia" w:ascii="仿宋" w:hAnsi="仿宋" w:eastAsia="仿宋"/>
          <w:bCs/>
          <w:color w:val="auto"/>
          <w:sz w:val="32"/>
          <w:szCs w:val="32"/>
          <w:highlight w:val="none"/>
        </w:rPr>
        <w:t>（一）主要职能。（职能参照省政府批准的三定方案）</w:t>
      </w:r>
      <w:bookmarkEnd w:id="16"/>
      <w:bookmarkEnd w:id="17"/>
    </w:p>
    <w:p w14:paraId="50456B95">
      <w:pPr>
        <w:pStyle w:val="12"/>
        <w:keepNext w:val="0"/>
        <w:keepLines w:val="0"/>
        <w:widowControl/>
        <w:suppressLineNumbers w:val="0"/>
        <w:shd w:val="clear" w:color="auto" w:fill="FFFFFF"/>
        <w:spacing w:before="0" w:beforeAutospacing="0" w:after="150" w:afterAutospacing="0" w:line="600" w:lineRule="atLeast"/>
        <w:ind w:left="0" w:right="0" w:firstLine="630"/>
        <w:rPr>
          <w:rFonts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1.</w:t>
      </w:r>
      <w:r>
        <w:rPr>
          <w:rFonts w:ascii="仿宋_GB2312" w:hAnsi="微软雅黑" w:eastAsia="仿宋_GB2312" w:cs="仿宋_GB2312"/>
          <w:i w:val="0"/>
          <w:caps w:val="0"/>
          <w:color w:val="000000"/>
          <w:spacing w:val="0"/>
          <w:sz w:val="31"/>
          <w:szCs w:val="31"/>
          <w:shd w:val="clear" w:color="auto" w:fill="FFFFFF"/>
        </w:rPr>
        <w:t>按照规定权限，履行全民所有土地、矿产、森林、湿地、水等自然资源资产所有者职责和所有国土空间用途管制职责；负责全区自然资源和国土空间规划、城乡规划及测绘等相关法律法规贯彻执行。</w:t>
      </w:r>
    </w:p>
    <w:p w14:paraId="289E2F16">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2.</w:t>
      </w:r>
      <w:r>
        <w:rPr>
          <w:rFonts w:hint="eastAsia" w:ascii="仿宋_GB2312" w:hAnsi="微软雅黑" w:eastAsia="仿宋_GB2312" w:cs="仿宋_GB2312"/>
          <w:i w:val="0"/>
          <w:caps w:val="0"/>
          <w:color w:val="000000"/>
          <w:spacing w:val="0"/>
          <w:sz w:val="31"/>
          <w:szCs w:val="31"/>
          <w:shd w:val="clear" w:color="auto" w:fill="FFFFFF"/>
        </w:rPr>
        <w:t>负责全区自然资源调查监测评价、统一确权登记、有偿使用以及合理开发利用工作。</w:t>
      </w:r>
    </w:p>
    <w:p w14:paraId="1B038F24">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3.</w:t>
      </w:r>
      <w:r>
        <w:rPr>
          <w:rFonts w:hint="eastAsia" w:ascii="仿宋_GB2312" w:hAnsi="微软雅黑" w:eastAsia="仿宋_GB2312" w:cs="仿宋_GB2312"/>
          <w:i w:val="0"/>
          <w:caps w:val="0"/>
          <w:color w:val="000000"/>
          <w:spacing w:val="0"/>
          <w:sz w:val="31"/>
          <w:szCs w:val="31"/>
          <w:shd w:val="clear" w:color="auto" w:fill="FFFFFF"/>
        </w:rPr>
        <w:t>负责建立全区空间规划体系并监督实施；推进主体功能区战略和制度建设，参与编制、报批并监督实施国土空间规划和相关专项规划，统筹衔接其他种类专项规划。</w:t>
      </w:r>
    </w:p>
    <w:p w14:paraId="37850EAF">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4.</w:t>
      </w:r>
      <w:r>
        <w:rPr>
          <w:rFonts w:hint="eastAsia" w:ascii="仿宋_GB2312" w:hAnsi="微软雅黑" w:eastAsia="仿宋_GB2312" w:cs="仿宋_GB2312"/>
          <w:i w:val="0"/>
          <w:caps w:val="0"/>
          <w:color w:val="000000"/>
          <w:spacing w:val="0"/>
          <w:sz w:val="31"/>
          <w:szCs w:val="31"/>
          <w:shd w:val="clear" w:color="auto" w:fill="FFFFFF"/>
        </w:rPr>
        <w:t>按职责权限负责区内控制性详细规划维护、园区重点片区城市设计、重要景观带（公园）、重要公共建筑、重大市政项目等方案设计的组织编制。</w:t>
      </w:r>
    </w:p>
    <w:p w14:paraId="1BDEFDF0">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5.</w:t>
      </w:r>
      <w:r>
        <w:rPr>
          <w:rFonts w:hint="eastAsia" w:ascii="仿宋_GB2312" w:hAnsi="微软雅黑" w:eastAsia="仿宋_GB2312" w:cs="仿宋_GB2312"/>
          <w:i w:val="0"/>
          <w:caps w:val="0"/>
          <w:color w:val="000000"/>
          <w:spacing w:val="0"/>
          <w:sz w:val="31"/>
          <w:szCs w:val="31"/>
          <w:shd w:val="clear" w:color="auto" w:fill="FFFFFF"/>
        </w:rPr>
        <w:t>负责国土空间生态修复、实施耕地保护工作。</w:t>
      </w:r>
    </w:p>
    <w:p w14:paraId="69CB68B9">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6.</w:t>
      </w:r>
      <w:r>
        <w:rPr>
          <w:rFonts w:hint="eastAsia" w:ascii="仿宋_GB2312" w:hAnsi="微软雅黑" w:eastAsia="仿宋_GB2312" w:cs="仿宋_GB2312"/>
          <w:i w:val="0"/>
          <w:caps w:val="0"/>
          <w:color w:val="000000"/>
          <w:spacing w:val="0"/>
          <w:sz w:val="31"/>
          <w:szCs w:val="31"/>
          <w:shd w:val="clear" w:color="auto" w:fill="FFFFFF"/>
        </w:rPr>
        <w:t>负责地质勘查行业和地质工作；组织实施全区地质调查和矿产资源勘查，管理区本级地质勘查项目。</w:t>
      </w:r>
    </w:p>
    <w:p w14:paraId="22FC630B">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7.</w:t>
      </w:r>
      <w:r>
        <w:rPr>
          <w:rFonts w:hint="eastAsia" w:ascii="仿宋_GB2312" w:hAnsi="微软雅黑" w:eastAsia="仿宋_GB2312" w:cs="仿宋_GB2312"/>
          <w:i w:val="0"/>
          <w:caps w:val="0"/>
          <w:color w:val="000000"/>
          <w:spacing w:val="0"/>
          <w:sz w:val="31"/>
          <w:szCs w:val="31"/>
          <w:shd w:val="clear" w:color="auto" w:fill="FFFFFF"/>
        </w:rPr>
        <w:t>负责测绘地理信息管理、地质灾害预防和治理、矿产资源管理工作。</w:t>
      </w:r>
    </w:p>
    <w:p w14:paraId="0D5619DA">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8.</w:t>
      </w:r>
      <w:r>
        <w:rPr>
          <w:rFonts w:hint="eastAsia" w:ascii="仿宋_GB2312" w:hAnsi="微软雅黑" w:eastAsia="仿宋_GB2312" w:cs="仿宋_GB2312"/>
          <w:i w:val="0"/>
          <w:caps w:val="0"/>
          <w:color w:val="000000"/>
          <w:spacing w:val="0"/>
          <w:sz w:val="31"/>
          <w:szCs w:val="31"/>
          <w:shd w:val="clear" w:color="auto" w:fill="FFFFFF"/>
        </w:rPr>
        <w:t>负责林业生态保护修复和造林绿化。负责森林、湿地资源、野生动植物资源的监督管理。</w:t>
      </w:r>
    </w:p>
    <w:p w14:paraId="473E059A">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9.</w:t>
      </w:r>
      <w:r>
        <w:rPr>
          <w:rFonts w:hint="eastAsia" w:ascii="仿宋_GB2312" w:hAnsi="微软雅黑" w:eastAsia="仿宋_GB2312" w:cs="仿宋_GB2312"/>
          <w:i w:val="0"/>
          <w:caps w:val="0"/>
          <w:color w:val="000000"/>
          <w:spacing w:val="0"/>
          <w:sz w:val="31"/>
          <w:szCs w:val="31"/>
          <w:shd w:val="clear" w:color="auto" w:fill="FFFFFF"/>
        </w:rPr>
        <w:t>负责自然资源领域科技发展和对外合作；制定并实施自然资源领域科技创新发展和人才培养规划和计划。</w:t>
      </w:r>
    </w:p>
    <w:p w14:paraId="17307080">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微软雅黑" w:hAnsi="微软雅黑" w:eastAsia="微软雅黑" w:cs="微软雅黑"/>
          <w:i w:val="0"/>
          <w:caps w:val="0"/>
          <w:color w:val="000000"/>
          <w:spacing w:val="0"/>
          <w:sz w:val="22"/>
          <w:szCs w:val="22"/>
        </w:rPr>
      </w:pPr>
      <w:r>
        <w:rPr>
          <w:rFonts w:hint="default" w:ascii="Times New Roman" w:hAnsi="Times New Roman" w:eastAsia="微软雅黑" w:cs="Times New Roman"/>
          <w:i w:val="0"/>
          <w:caps w:val="0"/>
          <w:color w:val="000000"/>
          <w:spacing w:val="0"/>
          <w:sz w:val="31"/>
          <w:szCs w:val="31"/>
          <w:shd w:val="clear" w:color="auto" w:fill="FFFFFF"/>
        </w:rPr>
        <w:t>10.</w:t>
      </w:r>
      <w:r>
        <w:rPr>
          <w:rFonts w:hint="eastAsia" w:ascii="仿宋_GB2312" w:hAnsi="微软雅黑" w:eastAsia="仿宋_GB2312" w:cs="仿宋_GB2312"/>
          <w:i w:val="0"/>
          <w:caps w:val="0"/>
          <w:color w:val="000000"/>
          <w:spacing w:val="0"/>
          <w:sz w:val="31"/>
          <w:szCs w:val="31"/>
          <w:shd w:val="clear" w:color="auto" w:fill="FFFFFF"/>
        </w:rPr>
        <w:t>按规定权限和程序负责辖区内的城乡规划审批和建设项目规划管理工作；负责全区村镇规划管理工作。</w:t>
      </w:r>
    </w:p>
    <w:p w14:paraId="7817ECD7">
      <w:pPr>
        <w:pStyle w:val="12"/>
        <w:keepNext w:val="0"/>
        <w:keepLines w:val="0"/>
        <w:widowControl/>
        <w:suppressLineNumbers w:val="0"/>
        <w:shd w:val="clear" w:color="auto" w:fill="FFFFFF"/>
        <w:spacing w:before="0" w:beforeAutospacing="0" w:after="150" w:afterAutospacing="0" w:line="600" w:lineRule="atLeast"/>
        <w:ind w:left="0" w:right="0" w:firstLine="630"/>
        <w:rPr>
          <w:rFonts w:hint="eastAsia" w:ascii="仿宋" w:hAnsi="仿宋" w:eastAsia="仿宋"/>
          <w:bCs/>
          <w:color w:val="auto"/>
          <w:sz w:val="32"/>
          <w:szCs w:val="32"/>
          <w:highlight w:val="none"/>
        </w:rPr>
      </w:pPr>
      <w:r>
        <w:rPr>
          <w:rFonts w:hint="default" w:ascii="Times New Roman" w:hAnsi="Times New Roman" w:eastAsia="微软雅黑" w:cs="Times New Roman"/>
          <w:i w:val="0"/>
          <w:caps w:val="0"/>
          <w:color w:val="000000"/>
          <w:spacing w:val="0"/>
          <w:sz w:val="31"/>
          <w:szCs w:val="31"/>
          <w:shd w:val="clear" w:color="auto" w:fill="FFFFFF"/>
        </w:rPr>
        <w:t>11.</w:t>
      </w:r>
      <w:r>
        <w:rPr>
          <w:rFonts w:hint="eastAsia" w:ascii="仿宋_GB2312" w:hAnsi="微软雅黑" w:eastAsia="仿宋_GB2312" w:cs="仿宋_GB2312"/>
          <w:i w:val="0"/>
          <w:caps w:val="0"/>
          <w:color w:val="000000"/>
          <w:spacing w:val="0"/>
          <w:sz w:val="31"/>
          <w:szCs w:val="31"/>
          <w:shd w:val="clear" w:color="auto" w:fill="FFFFFF"/>
        </w:rPr>
        <w:t>配合国家、省、市对区、镇（街道）落实党中央、国务院关于自然资源和国土空间规划的重大方针、决策部署及法律法规执行情况进行督察。</w:t>
      </w:r>
    </w:p>
    <w:p w14:paraId="571866B7">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8" w:name="_Toc15377199"/>
      <w:bookmarkStart w:id="19" w:name="_Toc15378446"/>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14:paraId="6B303A2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一、高效推进规划编制，引领园区高质量发展</w:t>
      </w:r>
    </w:p>
    <w:p w14:paraId="50A0BD62">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高质量完成《经开区战略规划》编制、完成遂宁经开区（罗家湾）高速公路出入口片区规划研究；配合市自然资源和规划局积极推进《遂宁市国土空间总体规划》、《遂宁高铁新城片区详细规划及城市设计》编制，配合做好“三区三线”试划工作。</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推动园区重点区域规划设计，有序开展西片区及周边区域重点研究、南强片区重点区域研究等工作，同时启动玉龙路城市设计、西宁片区竖向专项规划、经开区产业布局规划等工作。</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完成经开区西宁片区ZDY-XC11、12两个子单元，南强片区ZDY-HX17、ZDY-HX24四个控规子单元，老城区（北坝）01、03两个子单元的控制性详细规划调整。</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完成经开区建材项目选址论证，正启动国丰粮油项目选址论证工作。</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系统推进园区村规划编制工作，启动了新桥镇、北固镇统筹发展规划研究及村规划编制项目，该项目已完成公开招标及初步方案编制。</w:t>
      </w:r>
      <w:r>
        <w:rPr>
          <w:rFonts w:hint="eastAsia" w:ascii="仿宋_GB2312" w:hAnsi="仿宋_GB2312" w:eastAsia="仿宋_GB2312" w:cs="仿宋_GB2312"/>
          <w:b/>
          <w:bCs/>
          <w:kern w:val="2"/>
          <w:sz w:val="31"/>
          <w:szCs w:val="31"/>
          <w:lang w:val="en-US" w:eastAsia="zh-CN" w:bidi="ar-SA"/>
        </w:rPr>
        <w:t>六是</w:t>
      </w:r>
      <w:r>
        <w:rPr>
          <w:rFonts w:hint="eastAsia" w:ascii="仿宋_GB2312" w:hAnsi="仿宋_GB2312" w:eastAsia="仿宋_GB2312" w:cs="仿宋_GB2312"/>
          <w:kern w:val="2"/>
          <w:sz w:val="31"/>
          <w:szCs w:val="31"/>
          <w:lang w:val="en-US" w:eastAsia="zh-CN" w:bidi="ar-SA"/>
        </w:rPr>
        <w:t>积极做好“两项改革”后半篇文章相关工作，完成村级经济区情况梳理、半年度考评等。</w:t>
      </w:r>
    </w:p>
    <w:p w14:paraId="68554869">
      <w:pPr>
        <w:keepNext w:val="0"/>
        <w:keepLines w:val="0"/>
        <w:pageBreakBefore w:val="0"/>
        <w:widowControl w:val="0"/>
        <w:kinsoku/>
        <w:wordWrap/>
        <w:overflowPunct/>
        <w:topLinePunct w:val="0"/>
        <w:autoSpaceDE/>
        <w:autoSpaceDN/>
        <w:bidi w:val="0"/>
        <w:adjustRightInd/>
        <w:snapToGrid/>
        <w:spacing w:after="0" w:line="600" w:lineRule="exact"/>
        <w:ind w:firstLine="620"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二、加强农用地用途管理，合理保障项目用地需求</w:t>
      </w:r>
    </w:p>
    <w:p w14:paraId="6BBDE7F6">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组织完成经开区核心片区、新桥片区土地征收成片开发方案编制，完成南强片区、广德北固片区、小坝新凤片区成片开发方案编制，目前5个成片开发方案已完成上报，并已取回经开区核心片区成片开发方案省政府批复文件，其它4个正在省厅审查，正在组织凤台片区、西宁拓展区成片开发方案编制，计划2022年第一季度完成上报。</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组织完成遂宁市2021年第2、3、4、5、6、33建设用地报征批次组卷上报工作，合计报征面积2142.4845亩，圆满完成今年4个批次的报征组卷上报任务，其中2021年第2、3批次已通过初审转入省厅正式报件系统审查，2021年第4、5、6、33批次正在省厅初审，目前正在开展部分批次的补正工作。</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组织完成永久基本农田核实整改补足和“三区三线”永久基本农田试划工作，“三区三线”永久基本农田试划第一轮完成永久基本农田试划3775公顷，第二轮完成永久基本农田试划3322公顷。</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按照自然资源督查工作要求，完成园区新桥镇花祠村、北固镇龙楼社区、窝窝店村3处永久基本农田保护牌建设喷绘工作，完成新桥镇永久基本农田保护界碑恢复。</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完成宜宾市珙县“增减挂钩”指标购买，目前已完成流转协议签订，并将挂钩指标用于园区商住地块报征。</w:t>
      </w:r>
      <w:r>
        <w:rPr>
          <w:rFonts w:hint="eastAsia" w:ascii="仿宋_GB2312" w:hAnsi="仿宋_GB2312" w:eastAsia="仿宋_GB2312" w:cs="仿宋_GB2312"/>
          <w:b/>
          <w:bCs/>
          <w:kern w:val="2"/>
          <w:sz w:val="31"/>
          <w:szCs w:val="31"/>
          <w:lang w:val="en-US" w:eastAsia="zh-CN" w:bidi="ar-SA"/>
        </w:rPr>
        <w:t>六是完</w:t>
      </w:r>
      <w:r>
        <w:rPr>
          <w:rFonts w:hint="eastAsia" w:ascii="仿宋_GB2312" w:hAnsi="仿宋_GB2312" w:eastAsia="仿宋_GB2312" w:cs="仿宋_GB2312"/>
          <w:kern w:val="2"/>
          <w:sz w:val="31"/>
          <w:szCs w:val="31"/>
          <w:lang w:val="en-US" w:eastAsia="zh-CN" w:bidi="ar-SA"/>
        </w:rPr>
        <w:t>成历史遗留废弃矿山33个图斑现场核查，按照环保督察要求，完成对园区3处历史遗留废弃矿山复垦反弹情况进行“回头看”。</w:t>
      </w:r>
      <w:r>
        <w:rPr>
          <w:rFonts w:hint="eastAsia" w:ascii="仿宋_GB2312" w:hAnsi="仿宋_GB2312" w:eastAsia="仿宋_GB2312" w:cs="仿宋_GB2312"/>
          <w:b/>
          <w:bCs/>
          <w:kern w:val="2"/>
          <w:sz w:val="31"/>
          <w:szCs w:val="31"/>
          <w:lang w:val="en-US" w:eastAsia="zh-CN" w:bidi="ar-SA"/>
        </w:rPr>
        <w:t>七是</w:t>
      </w:r>
      <w:r>
        <w:rPr>
          <w:rFonts w:hint="eastAsia" w:ascii="仿宋_GB2312" w:hAnsi="仿宋_GB2312" w:eastAsia="仿宋_GB2312" w:cs="仿宋_GB2312"/>
          <w:kern w:val="2"/>
          <w:sz w:val="31"/>
          <w:szCs w:val="31"/>
          <w:lang w:val="en-US" w:eastAsia="zh-CN" w:bidi="ar-SA"/>
        </w:rPr>
        <w:t>组织镇、街道完成园区“上清下不清”“下清上不清”两类历史遗留问题初步摸排，其中已报征未社保、未补偿、未安置类“上清下不清”问题面积2644.92亩，已社保、已补偿、已安置、未报征类“下清上不清”问题面积1773.46亩，已统征、土地换保障类问题面积2413.89亩，已报征但未结算两费通过发放产值费方式使用土地类“上清下也清（未清完）”问题面积4269.67亩。</w:t>
      </w:r>
      <w:r>
        <w:rPr>
          <w:rFonts w:hint="eastAsia" w:ascii="仿宋_GB2312" w:hAnsi="仿宋_GB2312" w:eastAsia="仿宋_GB2312" w:cs="仿宋_GB2312"/>
          <w:b/>
          <w:bCs/>
          <w:kern w:val="2"/>
          <w:sz w:val="31"/>
          <w:szCs w:val="31"/>
          <w:lang w:val="en-US" w:eastAsia="zh-CN" w:bidi="ar-SA"/>
        </w:rPr>
        <w:t>八是</w:t>
      </w:r>
      <w:r>
        <w:rPr>
          <w:rFonts w:hint="eastAsia" w:ascii="仿宋_GB2312" w:hAnsi="仿宋_GB2312" w:eastAsia="仿宋_GB2312" w:cs="仿宋_GB2312"/>
          <w:kern w:val="2"/>
          <w:sz w:val="31"/>
          <w:szCs w:val="31"/>
          <w:lang w:val="en-US" w:eastAsia="zh-CN" w:bidi="ar-SA"/>
        </w:rPr>
        <w:t>组织完成园区下发9个耕地卫片图斑的现场核实和情况上报工作，并与相关部门做好衔接，为后续整改做好准备。</w:t>
      </w:r>
      <w:r>
        <w:rPr>
          <w:rFonts w:hint="eastAsia" w:ascii="仿宋_GB2312" w:hAnsi="仿宋_GB2312" w:eastAsia="仿宋_GB2312" w:cs="仿宋_GB2312"/>
          <w:b/>
          <w:bCs/>
          <w:kern w:val="2"/>
          <w:sz w:val="31"/>
          <w:szCs w:val="31"/>
          <w:lang w:val="en-US" w:eastAsia="zh-CN" w:bidi="ar-SA"/>
        </w:rPr>
        <w:t>九是</w:t>
      </w:r>
      <w:r>
        <w:rPr>
          <w:rFonts w:hint="eastAsia" w:ascii="仿宋_GB2312" w:hAnsi="仿宋_GB2312" w:eastAsia="仿宋_GB2312" w:cs="仿宋_GB2312"/>
          <w:kern w:val="2"/>
          <w:sz w:val="31"/>
          <w:szCs w:val="31"/>
          <w:lang w:val="en-US" w:eastAsia="zh-CN" w:bidi="ar-SA"/>
        </w:rPr>
        <w:t>组织完成蜂巢项目标准厂房建设项目、涪江流域遂宁经开区北段水环境综合治理项目临时用地审核办理工作，做好土地报征情况核实、设施农用地审核、征地补偿核实等工作。</w:t>
      </w:r>
    </w:p>
    <w:p w14:paraId="63170D27">
      <w:pPr>
        <w:keepNext w:val="0"/>
        <w:keepLines w:val="0"/>
        <w:pageBreakBefore w:val="0"/>
        <w:widowControl w:val="0"/>
        <w:kinsoku/>
        <w:wordWrap/>
        <w:overflowPunct/>
        <w:topLinePunct w:val="0"/>
        <w:autoSpaceDE/>
        <w:autoSpaceDN/>
        <w:bidi w:val="0"/>
        <w:adjustRightInd/>
        <w:snapToGrid/>
        <w:spacing w:after="0" w:line="600" w:lineRule="exact"/>
        <w:ind w:firstLine="620"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三、加强土地供应和土地管理，提高土地利用水平</w:t>
      </w:r>
    </w:p>
    <w:p w14:paraId="018A3189">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依法供地，保障园区供地需求。截至目前已出让工业用地4宗，面积345.24亩，成交总价5586.69万元。居住用地3宗，面积225.55亩，成交总价71095.83万元。燃气用地1宗，面积14.69亩，成交总价484.77万元，共实现土地收益77167.29万元。近期拟出让园区部分成熟商住用地。</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加大低效闲置土地清理和处置工作。目前已收回天麒机械、蓝芯电子、威腾电子、共3宗251.35亩闲置土地，收回总价2990万元，亩均收回价11.91万元。已盘活金红叶等4宗共463亩二期土地。已清理香叶尖、鑫辉薄板、凯鑫电子、柏狮光电等6宗面积767.77亩司法查封类土地，其中鑫辉薄板、凯鑫电子已通过司法程序成功处置，96.84亩土地已承接新的产业项目；香叶尖53.09亩、坤鼎车业47.6亩、柏狮光电277亩、杭萧钢构295.24亩已进入破产处置程序。已释放注销融资土地证8宗面积215.89亩，解决了志超一期、碧水新城安置房等项目多年未办证的遗留问题。已完成鑫泉酒店、飞井商贸等7宗160.1亩土地的收储工作。正在推进华晶玻璃、涪光光电、四川宏泽房地产、广福科技实业共4宗177.45亩土地的收储工作。已清理合同终止与中世物流等6个项目土地530亩，保障了一批新项目用地。</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利用税务窗口期加大园区土地供应力度。在年初编制的商住用地供应计划400亩的基础上增加130亩，保障园区土地供应。</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加快批而未供土地的供应工作，针对批而未供土地建立详细台账资料，明确未供原因，加大土地供应力度，完善用地手续</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加强土地市场动态监测监管，对市自然资源和规划局下发的疑似闲置土地清单进行调查核实，对经核实已开工建设的土地进行销号处理，目前已处置天麒机械、明康医院、勇华食品、等5宗201.85亩系统内闲置土地，对已构成闲置的珠峰药业等12家企业下发闲置土地通知书，督促他们尽快开工建设。</w:t>
      </w:r>
      <w:r>
        <w:rPr>
          <w:rFonts w:hint="eastAsia" w:ascii="仿宋_GB2312" w:hAnsi="仿宋_GB2312" w:eastAsia="仿宋_GB2312" w:cs="仿宋_GB2312"/>
          <w:b/>
          <w:bCs/>
          <w:kern w:val="2"/>
          <w:sz w:val="31"/>
          <w:szCs w:val="31"/>
          <w:lang w:val="en-US" w:eastAsia="zh-CN" w:bidi="ar-SA"/>
        </w:rPr>
        <w:t>六是</w:t>
      </w:r>
      <w:r>
        <w:rPr>
          <w:rFonts w:hint="eastAsia" w:ascii="仿宋_GB2312" w:hAnsi="仿宋_GB2312" w:eastAsia="仿宋_GB2312" w:cs="仿宋_GB2312"/>
          <w:kern w:val="2"/>
          <w:sz w:val="31"/>
          <w:szCs w:val="31"/>
          <w:lang w:val="en-US" w:eastAsia="zh-CN" w:bidi="ar-SA"/>
        </w:rPr>
        <w:t>完成了园区“亩均论英雄”土地节约集约利用评价工作，通过对园区每一宗土地的利用状况、用地效益、管理绩效等情况进行了全面调查及整理，建立了完整系统的土地集约利用数据库，为今后日常管理及动态监控提供了基础数据支撑。</w:t>
      </w:r>
    </w:p>
    <w:p w14:paraId="0FBE9D63">
      <w:pPr>
        <w:keepNext w:val="0"/>
        <w:keepLines w:val="0"/>
        <w:pageBreakBefore w:val="0"/>
        <w:widowControl w:val="0"/>
        <w:kinsoku/>
        <w:wordWrap/>
        <w:overflowPunct/>
        <w:topLinePunct w:val="0"/>
        <w:autoSpaceDE/>
        <w:autoSpaceDN/>
        <w:bidi w:val="0"/>
        <w:adjustRightInd/>
        <w:snapToGrid/>
        <w:spacing w:after="0" w:line="600" w:lineRule="exact"/>
        <w:ind w:firstLine="620"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四、加强规划建设方案技术服务，提高项目规划建设水平</w:t>
      </w:r>
    </w:p>
    <w:p w14:paraId="4056CF02">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承办区专委会13次，区规委会5 次。完成对遂宁经济技术开发区凤台片区水系规划研究、介福路西延线隧道、遂宁欧美产业园二期工业项目和康佳电子电路标准厂房建设等53个项目进行方案审查。</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完成15个项目的规划设计方案初审工作，协助邦泰理想城、富禹工业废水处理厂改扩建项目等10个项目上报市专委会审议，完成12次市专委会、10次市规委会服务对接工作。</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积极推动园区生态环境导向的开发及城市有机更新项目有关工作，编制《遂宁市经开区EOD试点项目专项规划》，指导完成园区老旧小区方案审查，开展《高铁新城、凤台、西宁、老城区部分区域污水系统规划论证》、《遂宁经开区（罗家湾）高速公路出入口片区规划研究、玉龙路景观风貌提升及站房设计方案》研究，积极为城市基础建设及城市能级提升做好保障。</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积极探索“摘牌即拿证”审批制度改革，加快园区招商引资项目落地，协助蜂巢项目等完成方案设计，待其拿地时即办理工程规划许可证。</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优化工程规划许可证办理流程，完善行政审批的流程化、标准化建设。完成志超科技（遂宁）有限公司、遂宁栖凤制造产业园等15个项目工程规划许可证办理；</w:t>
      </w:r>
      <w:r>
        <w:rPr>
          <w:rFonts w:hint="eastAsia" w:ascii="仿宋_GB2312" w:hAnsi="仿宋_GB2312" w:eastAsia="仿宋_GB2312" w:cs="仿宋_GB2312"/>
          <w:b/>
          <w:bCs/>
          <w:kern w:val="2"/>
          <w:sz w:val="31"/>
          <w:szCs w:val="31"/>
          <w:lang w:val="en-US" w:eastAsia="zh-CN" w:bidi="ar-SA"/>
        </w:rPr>
        <w:t>六是</w:t>
      </w:r>
      <w:r>
        <w:rPr>
          <w:rFonts w:hint="eastAsia" w:ascii="仿宋_GB2312" w:hAnsi="仿宋_GB2312" w:eastAsia="仿宋_GB2312" w:cs="仿宋_GB2312"/>
          <w:kern w:val="2"/>
          <w:sz w:val="31"/>
          <w:szCs w:val="31"/>
          <w:lang w:val="en-US" w:eastAsia="zh-CN" w:bidi="ar-SA"/>
        </w:rPr>
        <w:t>强化规划审批管理，完成西山北路物价局宿舍、介福路派出所宿舍等19个既有住宅增设电梯审批；完成堰霞线110kv临时迁改、蜂巢110kv、磨溪单井集燃气输管道等15个项目管线路由审批；完成邦泰理想城售楼部等2个项目临时建设审批；完成未来城小区、盛世锦城等70个屋顶改造审批；完成明星电力运维中心等2个项目规划验线。</w:t>
      </w:r>
    </w:p>
    <w:p w14:paraId="25F4EDA1">
      <w:pPr>
        <w:keepNext w:val="0"/>
        <w:keepLines w:val="0"/>
        <w:pageBreakBefore w:val="0"/>
        <w:widowControl w:val="0"/>
        <w:kinsoku/>
        <w:wordWrap/>
        <w:overflowPunct/>
        <w:topLinePunct w:val="0"/>
        <w:autoSpaceDE/>
        <w:autoSpaceDN/>
        <w:bidi w:val="0"/>
        <w:adjustRightInd/>
        <w:snapToGrid/>
        <w:spacing w:after="0" w:line="600" w:lineRule="exact"/>
        <w:ind w:firstLine="620"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五、依法推进确权调查登记，有效维护所有者利益</w:t>
      </w:r>
    </w:p>
    <w:p w14:paraId="20A4A4CE">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积极推进不动产向基层延伸工作，确定各村、社区代办员及分管领导，落实了相关制度和责任。推进农房（含宅基地）测绘和确权前期调查摸底，开展集体土地档案梳理，对全区宅基地情况进行了全面掌握。</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及时将土地交付企业使用，完成开祺、开达、邦泰、富程、瀚宏、蜂巢等企业用地的移交工作。</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贯彻落实自然资源调查监测评价制度、指标体系和统计标准，组织实施自然资源基础调查。协助办理</w:t>
      </w:r>
      <w:r>
        <w:rPr>
          <w:rFonts w:hint="eastAsia" w:ascii="仿宋_GB2312" w:hAnsi="仿宋_GB2312" w:eastAsia="仿宋_GB2312" w:cs="仿宋_GB2312"/>
          <w:kern w:val="2"/>
          <w:sz w:val="31"/>
          <w:szCs w:val="31"/>
          <w:rtl w:val="0"/>
          <w:lang w:val="en-US" w:eastAsia="zh-CN" w:bidi="ar-SA"/>
        </w:rPr>
        <w:t>中央生态环境保护督察组交办的X2SC202109120060号关于西山路西景苑项目投诉案件，对案件涉及的</w:t>
      </w:r>
      <w:r>
        <w:rPr>
          <w:rFonts w:hint="eastAsia" w:ascii="仿宋_GB2312" w:hAnsi="仿宋_GB2312" w:eastAsia="仿宋_GB2312" w:cs="仿宋_GB2312"/>
          <w:kern w:val="2"/>
          <w:sz w:val="31"/>
          <w:szCs w:val="31"/>
          <w:lang w:val="en-US" w:eastAsia="zh-CN" w:bidi="ar-SA"/>
        </w:rPr>
        <w:t>用地范围开展了测绘及权属调查和资料组卷上报；完成了“三调”专项调查成果省级内业复核汇总；完成了2020年全国国土年度变更调查工作。</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深入研究企业土地遗留问题，对钟声机械厂及宿舍、华旭科技、佳信纺织等企业土地问题做出研究并提出意见。</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切实解决企业办理不动产登记中的问题，及时为企业办理工业项目规划核实，办结了耀强规划核实办理，泰乐规划核实前期资料，完成康佳现场核实并准备资料上区规委会。</w:t>
      </w:r>
      <w:r>
        <w:rPr>
          <w:rFonts w:hint="eastAsia" w:ascii="仿宋_GB2312" w:hAnsi="仿宋_GB2312" w:eastAsia="仿宋_GB2312" w:cs="仿宋_GB2312"/>
          <w:b/>
          <w:bCs/>
          <w:kern w:val="2"/>
          <w:sz w:val="31"/>
          <w:szCs w:val="31"/>
          <w:lang w:val="en-US" w:eastAsia="zh-CN" w:bidi="ar-SA"/>
        </w:rPr>
        <w:t>六是</w:t>
      </w:r>
      <w:r>
        <w:rPr>
          <w:rFonts w:hint="eastAsia" w:ascii="仿宋_GB2312" w:hAnsi="仿宋_GB2312" w:eastAsia="仿宋_GB2312" w:cs="仿宋_GB2312"/>
          <w:kern w:val="2"/>
          <w:sz w:val="31"/>
          <w:szCs w:val="31"/>
          <w:lang w:val="en-US" w:eastAsia="zh-CN" w:bidi="ar-SA"/>
        </w:rPr>
        <w:t>化解不动产登记遗留问题，目前已按期完成市委市政府下达的目标任务。</w:t>
      </w:r>
      <w:r>
        <w:rPr>
          <w:rFonts w:hint="eastAsia" w:ascii="仿宋_GB2312" w:hAnsi="仿宋_GB2312" w:eastAsia="仿宋_GB2312" w:cs="仿宋_GB2312"/>
          <w:b/>
          <w:bCs/>
          <w:kern w:val="2"/>
          <w:sz w:val="31"/>
          <w:szCs w:val="31"/>
          <w:lang w:val="en-US" w:eastAsia="zh-CN" w:bidi="ar-SA"/>
        </w:rPr>
        <w:t>七是</w:t>
      </w:r>
      <w:r>
        <w:rPr>
          <w:rFonts w:hint="eastAsia" w:ascii="仿宋_GB2312" w:hAnsi="仿宋_GB2312" w:eastAsia="仿宋_GB2312" w:cs="仿宋_GB2312"/>
          <w:kern w:val="2"/>
          <w:sz w:val="31"/>
          <w:szCs w:val="31"/>
          <w:lang w:val="en-US" w:eastAsia="zh-CN" w:bidi="ar-SA"/>
        </w:rPr>
        <w:t>完成了三调基数转换工作，配合完成“三区三线”划定工作。</w:t>
      </w:r>
    </w:p>
    <w:p w14:paraId="09CD4082">
      <w:pPr>
        <w:keepNext w:val="0"/>
        <w:keepLines w:val="0"/>
        <w:pageBreakBefore w:val="0"/>
        <w:widowControl w:val="0"/>
        <w:kinsoku/>
        <w:wordWrap/>
        <w:overflowPunct/>
        <w:topLinePunct w:val="0"/>
        <w:autoSpaceDE/>
        <w:autoSpaceDN/>
        <w:bidi w:val="0"/>
        <w:adjustRightInd/>
        <w:snapToGrid/>
        <w:spacing w:after="0" w:line="600" w:lineRule="exact"/>
        <w:ind w:firstLine="620"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六、加强自然资源综合行政执法工作，持续优化营商环境</w:t>
      </w:r>
    </w:p>
    <w:p w14:paraId="78B01162">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持续推进卫片执法工作，今年前三季度，共收到自然资源部和省厅下发我区卫片执法图斑60个，监测图斑面积2071.9亩，监测耕地面积915.75亩（其中基本农田12.44亩）。经现场核实判定，合法用地图斑59个，1个卫片图斑（遂宁伙伴智超电子配套产业园项目部超批准范围占地搭建工棚）涉嫌违法用地问题，监测图斑面积0.74亩（其中耕地0.29亩），依法履职督促企业对违法占用土地问题完成拆除整改。同时，立案查处2020年度土地违法案件2件（办结1件）；协助完成2021年6个批次（第2-6批次和第33批次）报征土地中的卫片图斑核查和违法用地问题查处举证工作；发现并制止土地违法问题线索3宗。</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系统推进乱占耕地建房专项工作，起草了《关于组织开展农村乱占耕地建房问题摸排工作“回头看”的通知》，督促辖区政府加强摸排清理。</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配合统筹中心紧紧围绕三个重点领域对辖区内“大棚房”问题开展了“回头看”排查清理整治工作，排查发现新增“大棚房”问题1个，已完成整改。对新桥镇7个商混站下发临时用地到期提醒通知书。对123个农村乱占耕地建房问题已纳入台账监督管理，没有新增问题，目前等待上级出台政策后依法开展分类整改工作。</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组织开展了自然资源和规划专项调查工作，牵头组织园区10余个部门建立4个联合调查小组，对园区土地规划利用情况进行摸排，已完成214块土地、425个项目的土地利用情况，初步摸清了南强片区、西宁片区土地利用状况。</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深入推进“放管服”改革，持续优化营商环境，推进重点领域和关键环节改革，聚焦“互联网+不动产登记”建设，并出台《遂宁经开区2021年优化登记财产专项工作方案》，坚持“让信息数据多跑路、让服务对象少跑腿”,聚焦一窗受理集成服务，进一步压缩登记流程及耗时；持续优化项目用地管理，提升登记财产便利度。</w:t>
      </w:r>
      <w:r>
        <w:rPr>
          <w:rFonts w:hint="eastAsia" w:ascii="仿宋_GB2312" w:hAnsi="仿宋_GB2312" w:eastAsia="仿宋_GB2312" w:cs="仿宋_GB2312"/>
          <w:b/>
          <w:bCs/>
          <w:kern w:val="2"/>
          <w:sz w:val="31"/>
          <w:szCs w:val="31"/>
          <w:lang w:val="en-US" w:eastAsia="zh-CN" w:bidi="ar-SA"/>
        </w:rPr>
        <w:t>六是</w:t>
      </w:r>
      <w:r>
        <w:rPr>
          <w:rFonts w:hint="eastAsia" w:ascii="仿宋_GB2312" w:hAnsi="仿宋_GB2312" w:eastAsia="仿宋_GB2312" w:cs="仿宋_GB2312"/>
          <w:kern w:val="2"/>
          <w:sz w:val="31"/>
          <w:szCs w:val="31"/>
          <w:lang w:val="en-US" w:eastAsia="zh-CN" w:bidi="ar-SA"/>
        </w:rPr>
        <w:t>本年度办理回复12345热线共计50件（其中市长信箱2件）均按时回复，办理回复人民网留言4件，问政四川麻辣社区留言2件，本着以人为本，服务群众，构建和谐社会，持续做好信访信访维稳工作，在自然资源信访信息系统办理回复信访8件次，在四川省网上信访信息系统办理回复信访1件次，依据信访条例按期办理完成；一体化平台录入办理33件，办理电子证照31个，全面推动网络一体化办证工作。</w:t>
      </w:r>
    </w:p>
    <w:p w14:paraId="34515D8D">
      <w:pPr>
        <w:keepNext w:val="0"/>
        <w:keepLines w:val="0"/>
        <w:pageBreakBefore w:val="0"/>
        <w:widowControl w:val="0"/>
        <w:kinsoku/>
        <w:wordWrap/>
        <w:overflowPunct/>
        <w:topLinePunct w:val="0"/>
        <w:autoSpaceDE/>
        <w:autoSpaceDN/>
        <w:bidi w:val="0"/>
        <w:adjustRightInd/>
        <w:snapToGrid/>
        <w:spacing w:after="0" w:line="600" w:lineRule="exact"/>
        <w:ind w:firstLine="620"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七、加强地质灾害安全防控，持续推进防灾体系建设</w:t>
      </w:r>
    </w:p>
    <w:p w14:paraId="568A4E06">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完善地质灾害防灾措施。更新地灾隐患点基础信息，签订防灾安全责任书，调整应急抢险队伍人员，印发全区突发性地质灾害应急预案和地灾防治方案，指导各镇、街道办事处落实各类防灾预案、防灾措施等。</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开展防灾知识宣传培训和避险演练。开展地质灾害避险演练2次，参加人员约300余人。组织各种安全生产宣传和教育培训工作，累计发放宣传单7000余份，宣传手册650余册。</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加大地灾隐患巡排查。组织地灾专业人员开展地灾隐患排查5次，专项排查2次，其他常态化巡查52次。截至</w:t>
      </w:r>
      <w:bookmarkStart w:id="71" w:name="_GoBack"/>
      <w:bookmarkEnd w:id="71"/>
      <w:r>
        <w:rPr>
          <w:rFonts w:hint="eastAsia" w:ascii="仿宋_GB2312" w:hAnsi="仿宋_GB2312" w:eastAsia="仿宋_GB2312" w:cs="仿宋_GB2312"/>
          <w:kern w:val="2"/>
          <w:sz w:val="31"/>
          <w:szCs w:val="31"/>
          <w:lang w:val="en-US" w:eastAsia="zh-CN" w:bidi="ar-SA"/>
        </w:rPr>
        <w:t>目前，共排查出地质灾害隐患8处，其中纳入地质灾害排危治理6处，移交其他部门处置2处。</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落实防汛值班值守和防灾工作会商制。严格落实24小时值班带班制度，共抽查值班值守情况460余次，通报极端气象雨晴35次。参加省、市地质灾害防治工作视频会商会议8次。</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推进地质灾害隐患治理。争取本级财政资金约200 万元，协助园区各镇、街道办、平台公司开展排危治理9余处。完成2020年洪涝灾后重建项目及北固镇、新桥镇辖区内往年10处地质灾害治理项目验收。通过有效预防和治理，已连续13年实现地灾人员零伤亡，财产零损失，为园区经济社会发展和稳定做出了积极贡献。</w:t>
      </w:r>
      <w:r>
        <w:rPr>
          <w:rFonts w:hint="eastAsia" w:ascii="仿宋_GB2312" w:hAnsi="仿宋_GB2312" w:eastAsia="仿宋_GB2312" w:cs="仿宋_GB2312"/>
          <w:b/>
          <w:bCs/>
          <w:kern w:val="2"/>
          <w:sz w:val="31"/>
          <w:szCs w:val="31"/>
          <w:lang w:val="en-US" w:eastAsia="zh-CN" w:bidi="ar-SA"/>
        </w:rPr>
        <w:t>六是</w:t>
      </w:r>
      <w:r>
        <w:rPr>
          <w:rFonts w:hint="eastAsia" w:ascii="仿宋_GB2312" w:hAnsi="仿宋_GB2312" w:eastAsia="仿宋_GB2312" w:cs="仿宋_GB2312"/>
          <w:kern w:val="2"/>
          <w:sz w:val="31"/>
          <w:szCs w:val="31"/>
          <w:lang w:val="en-US" w:eastAsia="zh-CN" w:bidi="ar-SA"/>
        </w:rPr>
        <w:t>做好矿产资源监管工作。严厉查处各类非法勘查开采矿产资源的违法行为。做好历史废弃矿山疑似图斑核查，推进第四轮矿产资源规划工作，完成环保督察回头看以及非煤矿山复垦复绿后期监管巡查。</w:t>
      </w:r>
      <w:r>
        <w:rPr>
          <w:rFonts w:hint="eastAsia" w:ascii="仿宋_GB2312" w:hAnsi="仿宋_GB2312" w:eastAsia="仿宋_GB2312" w:cs="仿宋_GB2312"/>
          <w:b/>
          <w:bCs/>
          <w:kern w:val="2"/>
          <w:sz w:val="31"/>
          <w:szCs w:val="31"/>
          <w:lang w:val="en-US" w:eastAsia="zh-CN" w:bidi="ar-SA"/>
        </w:rPr>
        <w:t>七是</w:t>
      </w:r>
      <w:r>
        <w:rPr>
          <w:rFonts w:hint="eastAsia" w:ascii="仿宋_GB2312" w:hAnsi="仿宋_GB2312" w:eastAsia="仿宋_GB2312" w:cs="仿宋_GB2312"/>
          <w:kern w:val="2"/>
          <w:sz w:val="31"/>
          <w:szCs w:val="31"/>
          <w:lang w:val="en-US" w:eastAsia="zh-CN" w:bidi="ar-SA"/>
        </w:rPr>
        <w:t>全力推进安全生产监管工作。2021年我局结合各类专项整治行动开展安全生产督导检查12次。共出动车辆52台次，参与人员230人次，逐一形成整改台账、落实风险防控措施等。</w:t>
      </w:r>
      <w:r>
        <w:rPr>
          <w:rFonts w:hint="eastAsia" w:ascii="仿宋_GB2312" w:hAnsi="仿宋_GB2312" w:eastAsia="仿宋_GB2312" w:cs="仿宋_GB2312"/>
          <w:b/>
          <w:bCs/>
          <w:kern w:val="2"/>
          <w:sz w:val="31"/>
          <w:szCs w:val="31"/>
          <w:lang w:val="en-US" w:eastAsia="zh-CN" w:bidi="ar-SA"/>
        </w:rPr>
        <w:t>八是</w:t>
      </w:r>
      <w:r>
        <w:rPr>
          <w:rFonts w:hint="eastAsia" w:ascii="仿宋_GB2312" w:hAnsi="仿宋_GB2312" w:eastAsia="仿宋_GB2312" w:cs="仿宋_GB2312"/>
          <w:kern w:val="2"/>
          <w:sz w:val="31"/>
          <w:szCs w:val="31"/>
          <w:lang w:val="en-US" w:eastAsia="zh-CN" w:bidi="ar-SA"/>
        </w:rPr>
        <w:t>持续推进开善河河长制工作，加强日常巡河，长期开展河道治理、岸线修复、排污口巡查等工作，对发现问题形成整改通知函告相关单位及时整改，并对花溪路排口开展专题研究，形成联合工作机制，每月报送进度，解决花溪路排口溢流污水问题。</w:t>
      </w:r>
    </w:p>
    <w:p w14:paraId="0B2241E5">
      <w:pPr>
        <w:keepNext w:val="0"/>
        <w:keepLines w:val="0"/>
        <w:pageBreakBefore w:val="0"/>
        <w:widowControl w:val="0"/>
        <w:kinsoku/>
        <w:wordWrap/>
        <w:overflowPunct/>
        <w:topLinePunct w:val="0"/>
        <w:autoSpaceDE/>
        <w:autoSpaceDN/>
        <w:bidi w:val="0"/>
        <w:adjustRightInd/>
        <w:snapToGrid/>
        <w:spacing w:after="0" w:line="600" w:lineRule="exact"/>
        <w:ind w:firstLine="620" w:firstLineChars="200"/>
        <w:jc w:val="both"/>
        <w:textAlignment w:val="auto"/>
        <w:rPr>
          <w:rFonts w:hint="eastAsia" w:ascii="仿宋_GB2312" w:hAnsi="仿宋_GB2312" w:eastAsia="仿宋_GB2312" w:cs="仿宋_GB2312"/>
          <w:kern w:val="2"/>
          <w:sz w:val="31"/>
          <w:szCs w:val="31"/>
          <w:lang w:val="en-US" w:eastAsia="zh-CN" w:bidi="ar-SA"/>
        </w:rPr>
      </w:pPr>
      <w:r>
        <w:rPr>
          <w:rFonts w:hint="eastAsia" w:ascii="仿宋_GB2312" w:hAnsi="仿宋_GB2312" w:eastAsia="仿宋_GB2312" w:cs="仿宋_GB2312"/>
          <w:kern w:val="2"/>
          <w:sz w:val="31"/>
          <w:szCs w:val="31"/>
          <w:lang w:val="en-US" w:eastAsia="zh-CN" w:bidi="ar-SA"/>
        </w:rPr>
        <w:t>八、加强建立健全林业管理机制，提高林业管理水平</w:t>
      </w:r>
    </w:p>
    <w:p w14:paraId="41B49054">
      <w:pPr>
        <w:keepNext w:val="0"/>
        <w:keepLines w:val="0"/>
        <w:pageBreakBefore w:val="0"/>
        <w:widowControl w:val="0"/>
        <w:kinsoku/>
        <w:wordWrap/>
        <w:overflowPunct/>
        <w:topLinePunct w:val="0"/>
        <w:autoSpaceDE/>
        <w:autoSpaceDN/>
        <w:bidi w:val="0"/>
        <w:adjustRightInd/>
        <w:snapToGrid/>
        <w:spacing w:after="0" w:line="600" w:lineRule="exact"/>
        <w:ind w:firstLine="622"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kern w:val="2"/>
          <w:sz w:val="31"/>
          <w:szCs w:val="31"/>
          <w:lang w:val="en-US" w:eastAsia="zh-CN" w:bidi="ar-SA"/>
        </w:rPr>
        <w:t>一是</w:t>
      </w:r>
      <w:r>
        <w:rPr>
          <w:rFonts w:hint="eastAsia" w:ascii="仿宋_GB2312" w:hAnsi="仿宋_GB2312" w:eastAsia="仿宋_GB2312" w:cs="仿宋_GB2312"/>
          <w:kern w:val="2"/>
          <w:sz w:val="31"/>
          <w:szCs w:val="31"/>
          <w:lang w:val="en-US" w:eastAsia="zh-CN" w:bidi="ar-SA"/>
        </w:rPr>
        <w:t>对园区内公益林管理进行日常监督，对古树名木定期进行监管。7月、10月配合市林业局对木材行业进行安全监督管理。完成区级林长制制定，落实林长制到区、镇、村。整理林长制的配套制度。</w:t>
      </w:r>
      <w:r>
        <w:rPr>
          <w:rFonts w:hint="eastAsia" w:ascii="仿宋_GB2312" w:hAnsi="仿宋_GB2312" w:eastAsia="仿宋_GB2312" w:cs="仿宋_GB2312"/>
          <w:b/>
          <w:bCs/>
          <w:kern w:val="2"/>
          <w:sz w:val="31"/>
          <w:szCs w:val="31"/>
          <w:lang w:val="en-US" w:eastAsia="zh-CN" w:bidi="ar-SA"/>
        </w:rPr>
        <w:t>二是</w:t>
      </w:r>
      <w:r>
        <w:rPr>
          <w:rFonts w:hint="eastAsia" w:ascii="仿宋_GB2312" w:hAnsi="仿宋_GB2312" w:eastAsia="仿宋_GB2312" w:cs="仿宋_GB2312"/>
          <w:kern w:val="2"/>
          <w:sz w:val="31"/>
          <w:szCs w:val="31"/>
          <w:lang w:val="en-US" w:eastAsia="zh-CN" w:bidi="ar-SA"/>
        </w:rPr>
        <w:t>指导陆生野生动物管理，针对辖区内野生动物保护指派专人、定期巡查，确保辖区内无野生动物买卖。</w:t>
      </w:r>
      <w:r>
        <w:rPr>
          <w:rFonts w:hint="eastAsia" w:ascii="仿宋_GB2312" w:hAnsi="仿宋_GB2312" w:eastAsia="仿宋_GB2312" w:cs="仿宋_GB2312"/>
          <w:b/>
          <w:bCs/>
          <w:kern w:val="2"/>
          <w:sz w:val="31"/>
          <w:szCs w:val="31"/>
          <w:lang w:val="en-US" w:eastAsia="zh-CN" w:bidi="ar-SA"/>
        </w:rPr>
        <w:t>三是</w:t>
      </w:r>
      <w:r>
        <w:rPr>
          <w:rFonts w:hint="eastAsia" w:ascii="仿宋_GB2312" w:hAnsi="仿宋_GB2312" w:eastAsia="仿宋_GB2312" w:cs="仿宋_GB2312"/>
          <w:kern w:val="2"/>
          <w:sz w:val="31"/>
          <w:szCs w:val="31"/>
          <w:lang w:val="en-US" w:eastAsia="zh-CN" w:bidi="ar-SA"/>
        </w:rPr>
        <w:t>指导基层林业站管理工作，组织辖区内办事处及乡镇宣传学习森林法等相关法律法规，要求其定期上报重点突出问题。</w:t>
      </w:r>
      <w:r>
        <w:rPr>
          <w:rFonts w:hint="eastAsia" w:ascii="仿宋_GB2312" w:hAnsi="仿宋_GB2312" w:eastAsia="仿宋_GB2312" w:cs="仿宋_GB2312"/>
          <w:b/>
          <w:bCs/>
          <w:kern w:val="2"/>
          <w:sz w:val="31"/>
          <w:szCs w:val="31"/>
          <w:lang w:val="en-US" w:eastAsia="zh-CN" w:bidi="ar-SA"/>
        </w:rPr>
        <w:t>四是</w:t>
      </w:r>
      <w:r>
        <w:rPr>
          <w:rFonts w:hint="eastAsia" w:ascii="仿宋_GB2312" w:hAnsi="仿宋_GB2312" w:eastAsia="仿宋_GB2312" w:cs="仿宋_GB2312"/>
          <w:kern w:val="2"/>
          <w:sz w:val="31"/>
          <w:szCs w:val="31"/>
          <w:lang w:val="en-US" w:eastAsia="zh-CN" w:bidi="ar-SA"/>
        </w:rPr>
        <w:t>处理林业资源管理相关的信访工作2件，针对信访问题深入研究，做好前期工作摸清情况，多次与信访人沟通，了解信访人需求，并取得信访人理解。</w:t>
      </w:r>
      <w:r>
        <w:rPr>
          <w:rFonts w:hint="eastAsia" w:ascii="仿宋_GB2312" w:hAnsi="仿宋_GB2312" w:eastAsia="仿宋_GB2312" w:cs="仿宋_GB2312"/>
          <w:b/>
          <w:bCs/>
          <w:kern w:val="2"/>
          <w:sz w:val="31"/>
          <w:szCs w:val="31"/>
          <w:lang w:val="en-US" w:eastAsia="zh-CN" w:bidi="ar-SA"/>
        </w:rPr>
        <w:t>五是</w:t>
      </w:r>
      <w:r>
        <w:rPr>
          <w:rFonts w:hint="eastAsia" w:ascii="仿宋_GB2312" w:hAnsi="仿宋_GB2312" w:eastAsia="仿宋_GB2312" w:cs="仿宋_GB2312"/>
          <w:kern w:val="2"/>
          <w:sz w:val="31"/>
          <w:szCs w:val="31"/>
          <w:lang w:val="en-US" w:eastAsia="zh-CN" w:bidi="ar-SA"/>
        </w:rPr>
        <w:t>配合市局部门完成移交林业毁林线索4条，督导违法主体按照行政处罚要求整改。</w:t>
      </w:r>
      <w:r>
        <w:rPr>
          <w:rFonts w:hint="eastAsia" w:ascii="仿宋_GB2312" w:hAnsi="仿宋_GB2312" w:eastAsia="仿宋_GB2312" w:cs="仿宋_GB2312"/>
          <w:b/>
          <w:bCs/>
          <w:kern w:val="2"/>
          <w:sz w:val="31"/>
          <w:szCs w:val="31"/>
          <w:lang w:val="en-US" w:eastAsia="zh-CN" w:bidi="ar-SA"/>
        </w:rPr>
        <w:t>六是</w:t>
      </w:r>
      <w:r>
        <w:rPr>
          <w:rFonts w:hint="eastAsia" w:ascii="仿宋_GB2312" w:hAnsi="仿宋_GB2312" w:eastAsia="仿宋_GB2312" w:cs="仿宋_GB2312"/>
          <w:kern w:val="2"/>
          <w:sz w:val="31"/>
          <w:szCs w:val="31"/>
          <w:lang w:val="en-US" w:eastAsia="zh-CN" w:bidi="ar-SA"/>
        </w:rPr>
        <w:t>完成区内国土三调与一张图融合对接公益林优化调整工作，并完成约235公顷的建设项目与林地面积套合。</w:t>
      </w:r>
      <w:r>
        <w:rPr>
          <w:rFonts w:hint="eastAsia" w:ascii="仿宋_GB2312" w:hAnsi="仿宋_GB2312" w:eastAsia="仿宋_GB2312" w:cs="仿宋_GB2312"/>
          <w:b/>
          <w:bCs/>
          <w:kern w:val="2"/>
          <w:sz w:val="31"/>
          <w:szCs w:val="31"/>
          <w:lang w:val="en-US" w:eastAsia="zh-CN" w:bidi="ar-SA"/>
        </w:rPr>
        <w:t>七是</w:t>
      </w:r>
      <w:r>
        <w:rPr>
          <w:rFonts w:hint="eastAsia" w:ascii="仿宋_GB2312" w:hAnsi="仿宋_GB2312" w:eastAsia="仿宋_GB2312" w:cs="仿宋_GB2312"/>
          <w:kern w:val="2"/>
          <w:sz w:val="31"/>
          <w:szCs w:val="31"/>
          <w:lang w:val="en-US" w:eastAsia="zh-CN" w:bidi="ar-SA"/>
        </w:rPr>
        <w:t>完成2022年林业报征数据对接，对下发园区内的178个打击毁林专项行动图斑进行了核查。</w:t>
      </w:r>
      <w:r>
        <w:rPr>
          <w:rFonts w:hint="eastAsia" w:ascii="仿宋_GB2312" w:hAnsi="仿宋_GB2312" w:eastAsia="仿宋_GB2312" w:cs="仿宋_GB2312"/>
          <w:b/>
          <w:bCs/>
          <w:kern w:val="2"/>
          <w:sz w:val="31"/>
          <w:szCs w:val="31"/>
          <w:lang w:val="en-US" w:eastAsia="zh-CN" w:bidi="ar-SA"/>
        </w:rPr>
        <w:t>八是</w:t>
      </w:r>
      <w:r>
        <w:rPr>
          <w:rFonts w:hint="eastAsia" w:ascii="仿宋_GB2312" w:hAnsi="仿宋_GB2312" w:eastAsia="仿宋_GB2312" w:cs="仿宋_GB2312"/>
          <w:kern w:val="2"/>
          <w:sz w:val="31"/>
          <w:szCs w:val="31"/>
          <w:lang w:val="en-US" w:eastAsia="zh-CN" w:bidi="ar-SA"/>
        </w:rPr>
        <w:t>针对园区内的林业外来物种侵害，配合市局进行监控，督导区内各镇、街道办事处治理。并且定期对林业有害生物防治、检疫及疫源疫病监测进行排查，防止辖区内出现大规模的病虫害等问题。</w:t>
      </w:r>
      <w:r>
        <w:rPr>
          <w:rFonts w:hint="eastAsia" w:ascii="仿宋_GB2312" w:hAnsi="仿宋_GB2312" w:eastAsia="仿宋_GB2312" w:cs="仿宋_GB2312"/>
          <w:b/>
          <w:bCs/>
          <w:kern w:val="2"/>
          <w:sz w:val="31"/>
          <w:szCs w:val="31"/>
          <w:lang w:val="en-US" w:eastAsia="zh-CN" w:bidi="ar-SA"/>
        </w:rPr>
        <w:t>九是</w:t>
      </w:r>
      <w:r>
        <w:rPr>
          <w:rFonts w:hint="eastAsia" w:ascii="仿宋_GB2312" w:hAnsi="仿宋_GB2312" w:eastAsia="仿宋_GB2312" w:cs="仿宋_GB2312"/>
          <w:kern w:val="2"/>
          <w:sz w:val="31"/>
          <w:szCs w:val="31"/>
          <w:lang w:val="en-US" w:eastAsia="zh-CN" w:bidi="ar-SA"/>
        </w:rPr>
        <w:t>按照中、省、市关于组建半专业化队伍相关要求，指导各镇、街道组建半专业化队伍，并定期开展学习培训，同时，根据各辖区情况备齐森林防火物资，确保森林防火保障到位。</w:t>
      </w:r>
      <w:r>
        <w:rPr>
          <w:rFonts w:hint="eastAsia" w:ascii="仿宋_GB2312" w:hAnsi="仿宋_GB2312" w:eastAsia="仿宋_GB2312" w:cs="仿宋_GB2312"/>
          <w:b/>
          <w:bCs/>
          <w:kern w:val="2"/>
          <w:sz w:val="31"/>
          <w:szCs w:val="31"/>
          <w:lang w:val="en-US" w:eastAsia="zh-CN" w:bidi="ar-SA"/>
        </w:rPr>
        <w:t>十是</w:t>
      </w:r>
      <w:r>
        <w:rPr>
          <w:rFonts w:hint="eastAsia" w:ascii="仿宋_GB2312" w:hAnsi="仿宋_GB2312" w:eastAsia="仿宋_GB2312" w:cs="仿宋_GB2312"/>
          <w:kern w:val="2"/>
          <w:sz w:val="31"/>
          <w:szCs w:val="31"/>
          <w:lang w:val="en-US" w:eastAsia="zh-CN" w:bidi="ar-SA"/>
        </w:rPr>
        <w:t>针对重点区域、森林覆盖率高、自然保护地等区域，开展森林防火隐患排查，对排查出的隐患建立台账，并在重点进山入口点设立卡口，严防死守森林火灾发生。</w:t>
      </w:r>
      <w:r>
        <w:rPr>
          <w:rFonts w:hint="eastAsia" w:ascii="仿宋_GB2312" w:hAnsi="仿宋_GB2312" w:eastAsia="仿宋_GB2312" w:cs="仿宋_GB2312"/>
          <w:b/>
          <w:bCs/>
          <w:kern w:val="2"/>
          <w:sz w:val="31"/>
          <w:szCs w:val="31"/>
          <w:lang w:val="en-US" w:eastAsia="zh-CN" w:bidi="ar-SA"/>
        </w:rPr>
        <w:t>十一是</w:t>
      </w:r>
      <w:r>
        <w:rPr>
          <w:rFonts w:hint="eastAsia" w:ascii="仿宋_GB2312" w:hAnsi="仿宋_GB2312" w:eastAsia="仿宋_GB2312" w:cs="仿宋_GB2312"/>
          <w:kern w:val="2"/>
          <w:sz w:val="31"/>
          <w:szCs w:val="31"/>
          <w:lang w:val="en-US" w:eastAsia="zh-CN" w:bidi="ar-SA"/>
        </w:rPr>
        <w:t>指导卧龙山公园、广德风景区、西山森林公园按照中、省、市关于防火码更新要求，及时更换防火码，保障重要区域森林防火安全。督导各护林员严格按照护林员要求，开展护林工作，并督促其按时登录护林员熊猫app，及时发布预警信息。</w:t>
      </w:r>
      <w:r>
        <w:rPr>
          <w:rFonts w:hint="eastAsia" w:ascii="仿宋_GB2312" w:hAnsi="仿宋_GB2312" w:eastAsia="仿宋_GB2312" w:cs="仿宋_GB2312"/>
          <w:b/>
          <w:bCs/>
          <w:kern w:val="2"/>
          <w:sz w:val="31"/>
          <w:szCs w:val="31"/>
          <w:lang w:val="en-US" w:eastAsia="zh-CN" w:bidi="ar-SA"/>
        </w:rPr>
        <w:t>十二是</w:t>
      </w:r>
      <w:r>
        <w:rPr>
          <w:rFonts w:hint="eastAsia" w:ascii="仿宋_GB2312" w:hAnsi="仿宋_GB2312" w:eastAsia="仿宋_GB2312" w:cs="仿宋_GB2312"/>
          <w:kern w:val="2"/>
          <w:sz w:val="31"/>
          <w:szCs w:val="31"/>
          <w:lang w:val="en-US" w:eastAsia="zh-CN" w:bidi="ar-SA"/>
        </w:rPr>
        <w:t>在“元旦”、“春节”、“清明”等重点节气开展森林防火督导工作，引导群众文明祭祀、鲜花祭祀，杜绝火灾发生。同时，加大宣传，让森林防火意识入心入脑。</w:t>
      </w:r>
    </w:p>
    <w:p w14:paraId="26D6AEC0">
      <w:pPr>
        <w:pStyle w:val="2"/>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p>
    <w:p w14:paraId="3E9B1A59">
      <w:pPr>
        <w:pStyle w:val="3"/>
        <w:ind w:right="440"/>
        <w:jc w:val="center"/>
        <w:rPr>
          <w:rStyle w:val="26"/>
          <w:rFonts w:ascii="黑体" w:hAnsi="黑体" w:eastAsia="黑体"/>
          <w:b w:val="0"/>
          <w:bCs/>
          <w:color w:val="auto"/>
          <w:highlight w:val="none"/>
        </w:rPr>
      </w:pPr>
      <w:bookmarkStart w:id="20" w:name="_Toc15377204"/>
      <w:bookmarkStart w:id="2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rPr>
        <w:t>部门决算情况说明</w:t>
      </w:r>
      <w:bookmarkEnd w:id="20"/>
      <w:bookmarkEnd w:id="21"/>
    </w:p>
    <w:p w14:paraId="7D8A70D1">
      <w:pPr>
        <w:rPr>
          <w:color w:val="auto"/>
          <w:highlight w:val="none"/>
        </w:rPr>
      </w:pPr>
    </w:p>
    <w:p w14:paraId="3D4A0D52">
      <w:pPr>
        <w:pStyle w:val="25"/>
        <w:numPr>
          <w:ilvl w:val="0"/>
          <w:numId w:val="1"/>
        </w:numPr>
        <w:spacing w:line="600" w:lineRule="exact"/>
        <w:ind w:firstLineChars="0"/>
        <w:outlineLvl w:val="1"/>
        <w:rPr>
          <w:rStyle w:val="27"/>
          <w:rFonts w:ascii="黑体" w:hAnsi="黑体" w:eastAsia="黑体"/>
          <w:b w:val="0"/>
          <w:color w:val="auto"/>
          <w:highlight w:val="none"/>
        </w:rPr>
      </w:pPr>
      <w:bookmarkStart w:id="22" w:name="_Toc15396603"/>
      <w:bookmarkStart w:id="23"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2"/>
      <w:bookmarkEnd w:id="23"/>
    </w:p>
    <w:p w14:paraId="4EB50FFC">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171.05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年相比，收、支总计减少</w:t>
      </w:r>
      <w:r>
        <w:rPr>
          <w:rFonts w:hint="eastAsia" w:ascii="仿宋" w:hAnsi="仿宋" w:eastAsia="仿宋"/>
          <w:color w:val="auto"/>
          <w:sz w:val="32"/>
          <w:szCs w:val="32"/>
          <w:highlight w:val="none"/>
          <w:lang w:val="en-US" w:eastAsia="zh-CN"/>
        </w:rPr>
        <w:t>49.65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项目减少，人员经费减少。</w:t>
      </w:r>
    </w:p>
    <w:p w14:paraId="12E756F3">
      <w:pPr>
        <w:pStyle w:val="17"/>
        <w:rPr>
          <w:rFonts w:hint="eastAsia"/>
          <w:lang w:eastAsia="zh-CN"/>
        </w:rPr>
      </w:pPr>
      <w:r>
        <w:rPr>
          <w:rFonts w:hint="eastAsia" w:ascii="仿宋_GB2312" w:eastAsia="仿宋_GB2312"/>
          <w:color w:val="000000"/>
          <w:sz w:val="32"/>
          <w:szCs w:val="32"/>
          <w:lang w:eastAsia="zh-CN"/>
        </w:rPr>
        <w:object>
          <v:shape id="_x0000_i1025" o:spt="75" type="#_x0000_t75" style="height:206.6pt;width:340.15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p>
    <w:p w14:paraId="46C98E0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21787207">
      <w:pPr>
        <w:spacing w:line="600" w:lineRule="exact"/>
        <w:ind w:firstLine="640" w:firstLineChars="200"/>
        <w:jc w:val="left"/>
        <w:rPr>
          <w:rFonts w:ascii="仿宋_GB2312" w:eastAsia="仿宋_GB2312"/>
          <w:color w:val="auto"/>
          <w:sz w:val="32"/>
          <w:szCs w:val="32"/>
          <w:highlight w:val="none"/>
        </w:rPr>
      </w:pPr>
    </w:p>
    <w:p w14:paraId="6C97B507">
      <w:pPr>
        <w:pStyle w:val="25"/>
        <w:numPr>
          <w:ilvl w:val="0"/>
          <w:numId w:val="1"/>
        </w:numPr>
        <w:spacing w:line="600" w:lineRule="exact"/>
        <w:ind w:firstLineChars="0"/>
        <w:outlineLvl w:val="1"/>
        <w:rPr>
          <w:rStyle w:val="27"/>
          <w:rFonts w:ascii="黑体" w:hAnsi="黑体" w:eastAsia="黑体"/>
          <w:b w:val="0"/>
          <w:color w:val="auto"/>
          <w:highlight w:val="none"/>
        </w:rPr>
      </w:pPr>
      <w:bookmarkStart w:id="24" w:name="_Toc15377206"/>
      <w:bookmarkStart w:id="25"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4"/>
      <w:bookmarkEnd w:id="25"/>
    </w:p>
    <w:p w14:paraId="55CB0B85">
      <w:pPr>
        <w:spacing w:line="600" w:lineRule="exact"/>
        <w:ind w:firstLine="640" w:firstLineChars="200"/>
        <w:jc w:val="left"/>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171.05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；年初结转和结余</w:t>
      </w:r>
      <w:r>
        <w:rPr>
          <w:rFonts w:hint="eastAsia" w:ascii="仿宋" w:hAnsi="仿宋" w:eastAsia="仿宋"/>
          <w:color w:val="auto"/>
          <w:sz w:val="32"/>
          <w:szCs w:val="32"/>
          <w:highlight w:val="none"/>
          <w:lang w:val="en-US" w:eastAsia="zh-CN"/>
        </w:rPr>
        <w:t>3.86万元，占2%</w:t>
      </w:r>
      <w:r>
        <w:rPr>
          <w:rFonts w:hint="eastAsia" w:ascii="仿宋" w:hAnsi="仿宋" w:eastAsia="仿宋"/>
          <w:color w:val="auto"/>
          <w:sz w:val="32"/>
          <w:szCs w:val="32"/>
          <w:highlight w:val="none"/>
        </w:rPr>
        <w:t>。</w:t>
      </w:r>
    </w:p>
    <w:p w14:paraId="642F60B7">
      <w:pPr>
        <w:pStyle w:val="17"/>
        <w:rPr>
          <w:rFonts w:ascii="仿宋" w:hAnsi="仿宋" w:eastAsia="仿宋"/>
          <w:color w:val="auto"/>
          <w:sz w:val="32"/>
          <w:szCs w:val="32"/>
          <w:highlight w:val="none"/>
        </w:rPr>
      </w:pPr>
      <w:r>
        <w:drawing>
          <wp:anchor distT="0" distB="0" distL="114300" distR="114300" simplePos="0" relativeHeight="251660288" behindDoc="1" locked="0" layoutInCell="1" allowOverlap="1">
            <wp:simplePos x="0" y="0"/>
            <wp:positionH relativeFrom="column">
              <wp:posOffset>4445</wp:posOffset>
            </wp:positionH>
            <wp:positionV relativeFrom="paragraph">
              <wp:posOffset>-7772400</wp:posOffset>
            </wp:positionV>
            <wp:extent cx="4670425" cy="3601085"/>
            <wp:effectExtent l="4445" t="4445" r="11430" b="13970"/>
            <wp:wrapTight wrapText="bothSides">
              <wp:wrapPolygon>
                <wp:start x="-21" y="-27"/>
                <wp:lineTo x="-21" y="21570"/>
                <wp:lineTo x="21565" y="21570"/>
                <wp:lineTo x="21565" y="-27"/>
                <wp:lineTo x="-21" y="-27"/>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A04DE5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4B54BA9D">
      <w:pPr>
        <w:spacing w:line="600" w:lineRule="exact"/>
        <w:ind w:firstLine="640" w:firstLineChars="200"/>
        <w:rPr>
          <w:rFonts w:ascii="仿宋_GB2312" w:eastAsia="仿宋_GB2312"/>
          <w:color w:val="auto"/>
          <w:sz w:val="32"/>
          <w:szCs w:val="32"/>
          <w:highlight w:val="none"/>
        </w:rPr>
      </w:pPr>
    </w:p>
    <w:p w14:paraId="6D04CCC5">
      <w:pPr>
        <w:pStyle w:val="25"/>
        <w:numPr>
          <w:ilvl w:val="0"/>
          <w:numId w:val="1"/>
        </w:numPr>
        <w:spacing w:line="600" w:lineRule="exact"/>
        <w:ind w:firstLineChars="0"/>
        <w:outlineLvl w:val="1"/>
        <w:rPr>
          <w:rStyle w:val="27"/>
          <w:rFonts w:ascii="黑体" w:hAnsi="黑体" w:eastAsia="黑体"/>
          <w:b w:val="0"/>
          <w:color w:val="auto"/>
          <w:highlight w:val="none"/>
        </w:rPr>
      </w:pPr>
      <w:bookmarkStart w:id="26" w:name="_Toc15377207"/>
      <w:bookmarkStart w:id="27"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6"/>
      <w:bookmarkEnd w:id="27"/>
    </w:p>
    <w:p w14:paraId="3B278A2D">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171.05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157.9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82CD0F7">
      <w:pPr>
        <w:pStyle w:val="17"/>
        <w:rPr>
          <w:rFonts w:ascii="仿宋" w:hAnsi="仿宋" w:eastAsia="仿宋"/>
          <w:color w:val="auto"/>
          <w:sz w:val="32"/>
          <w:szCs w:val="32"/>
          <w:highlight w:val="none"/>
          <w:shd w:val="pct10" w:color="auto" w:fill="FFFFFF"/>
        </w:rPr>
      </w:pPr>
      <w:r>
        <w:rPr>
          <w:rFonts w:hint="eastAsia" w:ascii="仿宋" w:hAnsi="仿宋" w:eastAsia="仿宋"/>
          <w:color w:val="auto"/>
          <w:sz w:val="32"/>
          <w:szCs w:val="32"/>
          <w:highlight w:val="none"/>
          <w:lang w:eastAsia="zh-CN"/>
        </w:rPr>
        <w:drawing>
          <wp:inline distT="0" distB="0" distL="114300" distR="114300">
            <wp:extent cx="4442460" cy="2927985"/>
            <wp:effectExtent l="4445" t="4445" r="10795" b="203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 w:hAnsi="仿宋" w:eastAsia="仿宋"/>
          <w:color w:val="auto"/>
          <w:sz w:val="32"/>
          <w:szCs w:val="32"/>
          <w:highlight w:val="none"/>
          <w:lang w:val="en-US" w:eastAsia="zh-CN"/>
        </w:rPr>
        <w:t xml:space="preserve">                                            </w:t>
      </w:r>
    </w:p>
    <w:p w14:paraId="35F9A3B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60C4A775">
      <w:pPr>
        <w:spacing w:line="600" w:lineRule="exact"/>
        <w:ind w:firstLine="640" w:firstLineChars="200"/>
        <w:rPr>
          <w:rFonts w:ascii="仿宋_GB2312" w:eastAsia="仿宋_GB2312"/>
          <w:color w:val="auto"/>
          <w:sz w:val="32"/>
          <w:szCs w:val="32"/>
          <w:highlight w:val="none"/>
        </w:rPr>
      </w:pPr>
    </w:p>
    <w:p w14:paraId="41D5DCAD">
      <w:pPr>
        <w:spacing w:line="600" w:lineRule="exact"/>
        <w:ind w:firstLine="640" w:firstLineChars="200"/>
        <w:outlineLvl w:val="1"/>
        <w:rPr>
          <w:rFonts w:hint="eastAsia" w:ascii="黑体" w:hAnsi="黑体" w:eastAsia="黑体"/>
          <w:color w:val="auto"/>
          <w:sz w:val="32"/>
          <w:szCs w:val="32"/>
          <w:highlight w:val="none"/>
        </w:rPr>
      </w:pPr>
      <w:bookmarkStart w:id="28" w:name="_Toc15377208"/>
      <w:bookmarkStart w:id="29" w:name="_Toc15396606"/>
    </w:p>
    <w:p w14:paraId="2F0EFABE">
      <w:pPr>
        <w:spacing w:line="600" w:lineRule="exact"/>
        <w:ind w:firstLine="640" w:firstLineChars="200"/>
        <w:outlineLvl w:val="1"/>
        <w:rPr>
          <w:rStyle w:val="27"/>
          <w:rFonts w:ascii="黑体" w:hAnsi="黑体" w:eastAsia="黑体"/>
          <w:b w:val="0"/>
          <w:color w:val="auto"/>
          <w:highlight w:val="none"/>
        </w:rPr>
      </w:pPr>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8"/>
      <w:bookmarkEnd w:id="29"/>
    </w:p>
    <w:p w14:paraId="26CBE88F">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169.7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年相比，财政拨款收、支总计减少</w:t>
      </w:r>
      <w:r>
        <w:rPr>
          <w:rFonts w:hint="eastAsia" w:ascii="仿宋" w:hAnsi="仿宋" w:eastAsia="仿宋"/>
          <w:color w:val="auto"/>
          <w:sz w:val="32"/>
          <w:szCs w:val="32"/>
          <w:highlight w:val="none"/>
          <w:lang w:val="en-US" w:eastAsia="zh-CN"/>
        </w:rPr>
        <w:t>50.57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项目减少。</w:t>
      </w:r>
    </w:p>
    <w:p w14:paraId="31450D62">
      <w:pPr>
        <w:pStyle w:val="17"/>
        <w:rPr>
          <w:rFonts w:ascii="仿宋" w:hAnsi="仿宋" w:eastAsia="仿宋"/>
          <w:color w:val="auto"/>
          <w:sz w:val="32"/>
          <w:szCs w:val="32"/>
          <w:highlight w:val="none"/>
        </w:rPr>
      </w:pPr>
      <w:r>
        <w:rPr>
          <w:rFonts w:hint="eastAsia"/>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C6866A">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0A96272">
      <w:pPr>
        <w:spacing w:line="600" w:lineRule="exact"/>
        <w:ind w:firstLine="640"/>
        <w:rPr>
          <w:rFonts w:ascii="仿宋" w:hAnsi="仿宋" w:eastAsia="仿宋"/>
          <w:b/>
          <w:color w:val="auto"/>
          <w:sz w:val="32"/>
          <w:szCs w:val="32"/>
          <w:highlight w:val="none"/>
        </w:rPr>
      </w:pPr>
    </w:p>
    <w:p w14:paraId="4E2145E0">
      <w:pPr>
        <w:spacing w:line="600" w:lineRule="exact"/>
        <w:ind w:firstLine="640" w:firstLineChars="200"/>
        <w:outlineLvl w:val="1"/>
        <w:rPr>
          <w:rStyle w:val="27"/>
          <w:rFonts w:ascii="黑体" w:hAnsi="黑体" w:eastAsia="黑体"/>
          <w:b w:val="0"/>
          <w:color w:val="auto"/>
          <w:highlight w:val="none"/>
        </w:rPr>
      </w:pPr>
      <w:bookmarkStart w:id="30" w:name="_Toc15396607"/>
      <w:bookmarkStart w:id="3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0"/>
      <w:bookmarkEnd w:id="31"/>
    </w:p>
    <w:p w14:paraId="7C2B2B15">
      <w:pPr>
        <w:spacing w:line="600" w:lineRule="exact"/>
        <w:ind w:firstLine="643" w:firstLineChars="200"/>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14:paraId="241D4163">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156.5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92.2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5.8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人员变动。</w:t>
      </w:r>
    </w:p>
    <w:p w14:paraId="783B28E2">
      <w:pPr>
        <w:pStyle w:val="17"/>
        <w:rPr>
          <w:rFonts w:ascii="仿宋" w:hAnsi="仿宋" w:eastAsia="仿宋"/>
          <w:color w:val="auto"/>
          <w:sz w:val="32"/>
          <w:szCs w:val="32"/>
          <w:highlight w:val="none"/>
        </w:rPr>
      </w:pPr>
      <w:r>
        <w:rPr>
          <w:rFonts w:hint="eastAsia"/>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FE544E">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379C1B9A">
      <w:pPr>
        <w:spacing w:line="600" w:lineRule="exact"/>
        <w:ind w:firstLine="640" w:firstLineChars="200"/>
        <w:rPr>
          <w:rFonts w:ascii="仿宋" w:hAnsi="仿宋" w:eastAsia="仿宋"/>
          <w:color w:val="auto"/>
          <w:sz w:val="32"/>
          <w:szCs w:val="32"/>
          <w:highlight w:val="none"/>
        </w:rPr>
      </w:pPr>
    </w:p>
    <w:p w14:paraId="33EF25C1">
      <w:pPr>
        <w:spacing w:line="600" w:lineRule="exact"/>
        <w:ind w:firstLine="643" w:firstLineChars="200"/>
        <w:outlineLvl w:val="2"/>
        <w:rPr>
          <w:rFonts w:ascii="仿宋" w:hAnsi="仿宋" w:eastAsia="仿宋"/>
          <w:b/>
          <w:color w:val="auto"/>
          <w:sz w:val="32"/>
          <w:szCs w:val="32"/>
          <w:highlight w:val="none"/>
        </w:rPr>
      </w:pPr>
      <w:bookmarkStart w:id="33" w:name="_Toc15377211"/>
      <w:r>
        <w:rPr>
          <w:rFonts w:hint="eastAsia" w:ascii="仿宋" w:hAnsi="仿宋" w:eastAsia="仿宋"/>
          <w:b/>
          <w:color w:val="auto"/>
          <w:sz w:val="32"/>
          <w:szCs w:val="32"/>
          <w:highlight w:val="none"/>
        </w:rPr>
        <w:t>（二）一般公共预算财政拨款支出决算结构情况</w:t>
      </w:r>
      <w:bookmarkEnd w:id="33"/>
    </w:p>
    <w:p w14:paraId="732E0A54">
      <w:pPr>
        <w:spacing w:line="600" w:lineRule="exact"/>
        <w:ind w:firstLine="640"/>
        <w:rPr>
          <w:rFonts w:hint="eastAsia" w:ascii="仿宋" w:hAnsi="仿宋" w:eastAsia="仿宋"/>
          <w:color w:val="auto"/>
          <w:sz w:val="32"/>
          <w:szCs w:val="32"/>
          <w:highlight w:val="none"/>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年一般公共预算财政拨款支出</w:t>
      </w:r>
      <w:r>
        <w:rPr>
          <w:rFonts w:hint="eastAsia" w:ascii="仿宋" w:hAnsi="仿宋" w:eastAsia="仿宋"/>
          <w:b w:val="0"/>
          <w:bCs w:val="0"/>
          <w:color w:val="auto"/>
          <w:sz w:val="32"/>
          <w:szCs w:val="32"/>
          <w:highlight w:val="none"/>
          <w:lang w:val="en-US" w:eastAsia="zh-CN"/>
        </w:rPr>
        <w:t>156.5</w:t>
      </w:r>
      <w:r>
        <w:rPr>
          <w:rFonts w:hint="eastAsia" w:ascii="仿宋" w:hAnsi="仿宋" w:eastAsia="仿宋"/>
          <w:b w:val="0"/>
          <w:bCs w:val="0"/>
          <w:color w:val="auto"/>
          <w:sz w:val="32"/>
          <w:szCs w:val="32"/>
          <w:highlight w:val="none"/>
        </w:rPr>
        <w:t>万元，主要用于以下方面</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文化旅游体育与传媒（类）支出</w:t>
      </w:r>
      <w:r>
        <w:rPr>
          <w:rFonts w:hint="eastAsia" w:ascii="仿宋" w:hAnsi="仿宋" w:eastAsia="仿宋"/>
          <w:b w:val="0"/>
          <w:bCs w:val="0"/>
          <w:color w:val="auto"/>
          <w:sz w:val="32"/>
          <w:szCs w:val="32"/>
          <w:highlight w:val="none"/>
          <w:lang w:val="en-US" w:eastAsia="zh-CN"/>
        </w:rPr>
        <w:t>0.5</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0.3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；社会保障和就业（类）支出</w:t>
      </w:r>
      <w:r>
        <w:rPr>
          <w:rFonts w:hint="eastAsia" w:ascii="仿宋" w:hAnsi="仿宋" w:eastAsia="仿宋"/>
          <w:b w:val="0"/>
          <w:bCs w:val="0"/>
          <w:color w:val="auto"/>
          <w:sz w:val="32"/>
          <w:szCs w:val="32"/>
          <w:highlight w:val="none"/>
          <w:lang w:val="en-US" w:eastAsia="zh-CN"/>
        </w:rPr>
        <w:t>14.5</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9.2</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7.4</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4.7</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lang w:eastAsia="zh-CN"/>
        </w:rPr>
        <w:t>自然资源海洋性气象等支出</w:t>
      </w:r>
      <w:r>
        <w:rPr>
          <w:rFonts w:hint="eastAsia" w:ascii="仿宋" w:hAnsi="仿宋" w:eastAsia="仿宋"/>
          <w:b w:val="0"/>
          <w:bCs w:val="0"/>
          <w:color w:val="auto"/>
          <w:sz w:val="32"/>
          <w:szCs w:val="32"/>
          <w:highlight w:val="none"/>
          <w:lang w:val="en-US" w:eastAsia="zh-CN"/>
        </w:rPr>
        <w:t>118.4万元，占75.8%；</w:t>
      </w:r>
      <w:r>
        <w:rPr>
          <w:rFonts w:hint="eastAsia" w:ascii="仿宋" w:hAnsi="仿宋" w:eastAsia="仿宋"/>
          <w:b w:val="0"/>
          <w:bCs w:val="0"/>
          <w:color w:val="auto"/>
          <w:sz w:val="32"/>
          <w:szCs w:val="32"/>
          <w:highlight w:val="none"/>
        </w:rPr>
        <w:t>住房保障支出</w:t>
      </w:r>
      <w:r>
        <w:rPr>
          <w:rFonts w:hint="eastAsia" w:ascii="仿宋" w:hAnsi="仿宋" w:eastAsia="仿宋"/>
          <w:b w:val="0"/>
          <w:bCs w:val="0"/>
          <w:color w:val="auto"/>
          <w:sz w:val="32"/>
          <w:szCs w:val="32"/>
          <w:highlight w:val="none"/>
          <w:lang w:val="en-US" w:eastAsia="zh-CN"/>
        </w:rPr>
        <w:t>15.7</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10</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p>
    <w:p w14:paraId="0435887D">
      <w:pPr>
        <w:pStyle w:val="17"/>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4445</wp:posOffset>
            </wp:positionH>
            <wp:positionV relativeFrom="paragraph">
              <wp:posOffset>71120</wp:posOffset>
            </wp:positionV>
            <wp:extent cx="5080000" cy="3810000"/>
            <wp:effectExtent l="4445" t="4445" r="209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2AF4BB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69E20AAE">
      <w:pPr>
        <w:spacing w:line="600" w:lineRule="exact"/>
        <w:ind w:firstLine="640" w:firstLineChars="200"/>
        <w:rPr>
          <w:rFonts w:ascii="仿宋" w:hAnsi="仿宋" w:eastAsia="仿宋"/>
          <w:color w:val="auto"/>
          <w:sz w:val="32"/>
          <w:szCs w:val="32"/>
          <w:highlight w:val="none"/>
        </w:rPr>
      </w:pPr>
    </w:p>
    <w:p w14:paraId="159BA132">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14:paraId="7C464252">
      <w:pPr>
        <w:spacing w:line="600" w:lineRule="exact"/>
        <w:ind w:firstLine="640" w:firstLineChars="200"/>
        <w:outlineLvl w:val="2"/>
        <w:rPr>
          <w:rFonts w:ascii="仿宋" w:hAnsi="仿宋" w:eastAsia="仿宋"/>
          <w:b w:val="0"/>
          <w:bCs/>
          <w:color w:val="auto"/>
          <w:sz w:val="32"/>
          <w:szCs w:val="32"/>
          <w:highlight w:val="none"/>
        </w:rPr>
      </w:pPr>
      <w:bookmarkStart w:id="35" w:name="_Toc15377213"/>
      <w:bookmarkStart w:id="36" w:name="_Toc15378460"/>
      <w:bookmarkStart w:id="37" w:name="_Toc15377444"/>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156.5</w:t>
      </w:r>
      <w:r>
        <w:rPr>
          <w:rFonts w:hint="eastAsia"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。其中：</w:t>
      </w:r>
      <w:bookmarkEnd w:id="35"/>
      <w:bookmarkEnd w:id="36"/>
      <w:bookmarkEnd w:id="37"/>
    </w:p>
    <w:p w14:paraId="7CE771A8">
      <w:pPr>
        <w:spacing w:line="600" w:lineRule="exact"/>
        <w:ind w:firstLine="640" w:firstLineChars="200"/>
        <w:rPr>
          <w:rFonts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1</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文化旅游体育与传媒（类）</w:t>
      </w:r>
      <w:r>
        <w:rPr>
          <w:rStyle w:val="15"/>
          <w:rFonts w:hint="eastAsia" w:ascii="仿宋" w:hAnsi="仿宋" w:eastAsia="仿宋"/>
          <w:b w:val="0"/>
          <w:bCs/>
          <w:color w:val="auto"/>
          <w:sz w:val="32"/>
          <w:szCs w:val="32"/>
          <w:highlight w:val="none"/>
          <w:lang w:eastAsia="zh-CN"/>
        </w:rPr>
        <w:t>广播电视</w:t>
      </w:r>
      <w:r>
        <w:rPr>
          <w:rStyle w:val="15"/>
          <w:rFonts w:hint="eastAsia" w:ascii="仿宋" w:hAnsi="仿宋" w:eastAsia="仿宋"/>
          <w:b w:val="0"/>
          <w:bCs/>
          <w:color w:val="auto"/>
          <w:sz w:val="32"/>
          <w:szCs w:val="32"/>
          <w:highlight w:val="none"/>
        </w:rPr>
        <w:t>（款）</w:t>
      </w:r>
      <w:r>
        <w:rPr>
          <w:rStyle w:val="15"/>
          <w:rFonts w:hint="eastAsia" w:ascii="仿宋" w:hAnsi="仿宋" w:eastAsia="仿宋"/>
          <w:b w:val="0"/>
          <w:bCs/>
          <w:color w:val="auto"/>
          <w:sz w:val="32"/>
          <w:szCs w:val="32"/>
          <w:highlight w:val="none"/>
          <w:lang w:eastAsia="zh-CN"/>
        </w:rPr>
        <w:t>其他广播电视支出</w:t>
      </w:r>
      <w:r>
        <w:rPr>
          <w:rStyle w:val="15"/>
          <w:rFonts w:hint="eastAsia" w:ascii="仿宋" w:hAnsi="仿宋" w:eastAsia="仿宋"/>
          <w:b w:val="0"/>
          <w:bCs/>
          <w:color w:val="auto"/>
          <w:sz w:val="32"/>
          <w:szCs w:val="32"/>
          <w:highlight w:val="none"/>
        </w:rPr>
        <w:t>（项）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0.5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75884662">
      <w:pPr>
        <w:spacing w:line="600" w:lineRule="exact"/>
        <w:ind w:firstLine="640" w:firstLineChars="200"/>
        <w:rPr>
          <w:rFonts w:ascii="仿宋" w:hAnsi="仿宋" w:eastAsia="仿宋"/>
          <w:b w:val="0"/>
          <w:bCs/>
          <w:color w:val="auto"/>
          <w:sz w:val="32"/>
          <w:szCs w:val="32"/>
          <w:highlight w:val="none"/>
        </w:rPr>
      </w:pPr>
      <w:r>
        <w:rPr>
          <w:rStyle w:val="15"/>
          <w:rFonts w:ascii="仿宋" w:hAnsi="仿宋" w:eastAsia="仿宋"/>
          <w:b w:val="0"/>
          <w:bCs/>
          <w:color w:val="auto"/>
          <w:sz w:val="32"/>
          <w:szCs w:val="32"/>
          <w:highlight w:val="none"/>
        </w:rPr>
        <w:t>5.</w:t>
      </w:r>
      <w:r>
        <w:rPr>
          <w:rStyle w:val="15"/>
          <w:rFonts w:hint="eastAsia" w:ascii="仿宋" w:hAnsi="仿宋" w:eastAsia="仿宋"/>
          <w:b w:val="0"/>
          <w:bCs/>
          <w:color w:val="auto"/>
          <w:sz w:val="32"/>
          <w:szCs w:val="32"/>
          <w:highlight w:val="none"/>
        </w:rPr>
        <w:t>社会保障和就业（类）行政事业单位养老支出（款）行政单位离退休</w:t>
      </w:r>
      <w:r>
        <w:rPr>
          <w:rStyle w:val="15"/>
          <w:rFonts w:hint="eastAsia" w:ascii="仿宋" w:hAnsi="仿宋" w:eastAsia="仿宋"/>
          <w:b w:val="0"/>
          <w:bCs/>
          <w:color w:val="auto"/>
          <w:sz w:val="32"/>
          <w:szCs w:val="32"/>
          <w:highlight w:val="none"/>
          <w:lang w:eastAsia="zh-CN"/>
        </w:rPr>
        <w:t>、机关事业单位基本养老保险缴费支出</w:t>
      </w:r>
      <w:r>
        <w:rPr>
          <w:rStyle w:val="15"/>
          <w:rFonts w:hint="eastAsia" w:ascii="仿宋" w:hAnsi="仿宋" w:eastAsia="仿宋"/>
          <w:b w:val="0"/>
          <w:bCs/>
          <w:color w:val="auto"/>
          <w:sz w:val="32"/>
          <w:szCs w:val="32"/>
          <w:highlight w:val="none"/>
        </w:rPr>
        <w:t>（项）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14.5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39801755">
      <w:pPr>
        <w:spacing w:line="600" w:lineRule="exact"/>
        <w:ind w:firstLine="640" w:firstLineChars="200"/>
        <w:rPr>
          <w:rFonts w:ascii="仿宋" w:hAnsi="仿宋" w:eastAsia="仿宋"/>
          <w:b w:val="0"/>
          <w:bCs/>
          <w:color w:val="auto"/>
          <w:sz w:val="32"/>
          <w:szCs w:val="32"/>
          <w:highlight w:val="none"/>
        </w:rPr>
      </w:pPr>
      <w:r>
        <w:rPr>
          <w:rStyle w:val="15"/>
          <w:rFonts w:ascii="仿宋" w:hAnsi="仿宋" w:eastAsia="仿宋"/>
          <w:b w:val="0"/>
          <w:bCs/>
          <w:color w:val="auto"/>
          <w:sz w:val="32"/>
          <w:szCs w:val="32"/>
          <w:highlight w:val="none"/>
        </w:rPr>
        <w:t>6.</w:t>
      </w:r>
      <w:r>
        <w:rPr>
          <w:rFonts w:hint="eastAsia" w:ascii="仿宋" w:hAnsi="仿宋" w:eastAsia="仿宋"/>
          <w:b w:val="0"/>
          <w:bCs/>
          <w:color w:val="auto"/>
          <w:sz w:val="32"/>
          <w:szCs w:val="32"/>
          <w:highlight w:val="none"/>
        </w:rPr>
        <w:t>卫生健康</w:t>
      </w:r>
      <w:r>
        <w:rPr>
          <w:rStyle w:val="15"/>
          <w:rFonts w:hint="eastAsia" w:ascii="仿宋" w:hAnsi="仿宋" w:eastAsia="仿宋"/>
          <w:b w:val="0"/>
          <w:bCs/>
          <w:color w:val="auto"/>
          <w:sz w:val="32"/>
          <w:szCs w:val="32"/>
          <w:highlight w:val="none"/>
        </w:rPr>
        <w:t>（类）行政事业单位医疗（款）事业单位医疗（项）</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7.4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69FBBB7E">
      <w:pPr>
        <w:spacing w:line="600" w:lineRule="exact"/>
        <w:ind w:firstLine="640" w:firstLineChars="200"/>
        <w:rPr>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rPr>
        <w:t>自然资源海洋气象等支出（类）自然资源事务（款）行政运行</w:t>
      </w:r>
      <w:r>
        <w:rPr>
          <w:rStyle w:val="15"/>
          <w:rFonts w:hint="eastAsia" w:ascii="仿宋" w:hAnsi="仿宋" w:eastAsia="仿宋"/>
          <w:b w:val="0"/>
          <w:bCs/>
          <w:color w:val="auto"/>
          <w:sz w:val="32"/>
          <w:szCs w:val="32"/>
          <w:highlight w:val="none"/>
          <w:lang w:eastAsia="zh-CN"/>
        </w:rPr>
        <w:t>、事业运行</w:t>
      </w:r>
      <w:r>
        <w:rPr>
          <w:rStyle w:val="15"/>
          <w:rFonts w:hint="eastAsia" w:ascii="仿宋" w:hAnsi="仿宋" w:eastAsia="仿宋"/>
          <w:b w:val="0"/>
          <w:bCs/>
          <w:color w:val="auto"/>
          <w:sz w:val="32"/>
          <w:szCs w:val="32"/>
          <w:highlight w:val="none"/>
        </w:rPr>
        <w:t>（项）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118.4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4FB9D7A9">
      <w:pPr>
        <w:pStyle w:val="17"/>
        <w:ind w:firstLine="640" w:firstLineChars="200"/>
        <w:rPr>
          <w:b w:val="0"/>
          <w:bCs/>
        </w:rPr>
      </w:pPr>
      <w:r>
        <w:rPr>
          <w:rStyle w:val="15"/>
          <w:rFonts w:hint="eastAsia" w:ascii="仿宋" w:hAnsi="仿宋" w:eastAsia="仿宋"/>
          <w:b w:val="0"/>
          <w:bCs/>
          <w:color w:val="auto"/>
          <w:sz w:val="32"/>
          <w:szCs w:val="32"/>
          <w:highlight w:val="none"/>
          <w:lang w:eastAsia="zh-CN"/>
        </w:rPr>
        <w:t>住房保障</w:t>
      </w:r>
      <w:r>
        <w:rPr>
          <w:rStyle w:val="15"/>
          <w:rFonts w:hint="eastAsia" w:ascii="仿宋" w:hAnsi="仿宋" w:eastAsia="仿宋"/>
          <w:b w:val="0"/>
          <w:bCs/>
          <w:color w:val="auto"/>
          <w:sz w:val="32"/>
          <w:szCs w:val="32"/>
          <w:highlight w:val="none"/>
        </w:rPr>
        <w:t>（类）住房改革支出（款）住房公积金（项）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AB8D8F2">
      <w:pPr>
        <w:spacing w:line="600" w:lineRule="exact"/>
        <w:ind w:firstLine="640"/>
        <w:rPr>
          <w:rFonts w:ascii="仿宋" w:hAnsi="仿宋" w:eastAsia="仿宋"/>
          <w:b/>
          <w:color w:val="auto"/>
          <w:sz w:val="32"/>
          <w:szCs w:val="32"/>
          <w:highlight w:val="none"/>
        </w:rPr>
      </w:pPr>
    </w:p>
    <w:p w14:paraId="0F2396E7">
      <w:pPr>
        <w:tabs>
          <w:tab w:val="right" w:pos="8306"/>
        </w:tabs>
        <w:spacing w:line="600" w:lineRule="exact"/>
        <w:ind w:firstLine="640"/>
        <w:outlineLvl w:val="1"/>
        <w:rPr>
          <w:rStyle w:val="27"/>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8"/>
      <w:bookmarkEnd w:id="39"/>
      <w:r>
        <w:rPr>
          <w:rStyle w:val="27"/>
          <w:rFonts w:ascii="黑体" w:hAnsi="黑体" w:eastAsia="黑体"/>
          <w:b w:val="0"/>
          <w:color w:val="auto"/>
          <w:highlight w:val="none"/>
        </w:rPr>
        <w:tab/>
      </w:r>
    </w:p>
    <w:p w14:paraId="73F3C805">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135.3</w:t>
      </w:r>
      <w:r>
        <w:rPr>
          <w:rFonts w:hint="eastAsia" w:ascii="仿宋" w:hAnsi="仿宋" w:eastAsia="仿宋"/>
          <w:color w:val="auto"/>
          <w:sz w:val="32"/>
          <w:szCs w:val="32"/>
          <w:highlight w:val="none"/>
        </w:rPr>
        <w:t>万元，其中：</w:t>
      </w:r>
    </w:p>
    <w:p w14:paraId="41DE421F">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115.5</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19.8</w:t>
      </w:r>
      <w:r>
        <w:rPr>
          <w:rFonts w:hint="eastAsia" w:ascii="仿宋" w:hAnsi="仿宋" w:eastAsia="仿宋"/>
          <w:color w:val="auto"/>
          <w:sz w:val="32"/>
          <w:szCs w:val="32"/>
          <w:highlight w:val="none"/>
        </w:rPr>
        <w:t>万元，主要包括：办公费、手续费、邮电费、差旅费、维修（护）费、租赁费、会议费、培训费、劳务费、委托业务费、工会经费、福利费、其他交通费、其他商品和服务支出等。</w:t>
      </w:r>
    </w:p>
    <w:p w14:paraId="523C3AAD">
      <w:pPr>
        <w:spacing w:line="600" w:lineRule="exact"/>
        <w:ind w:firstLine="640"/>
        <w:outlineLvl w:val="1"/>
        <w:rPr>
          <w:rStyle w:val="27"/>
          <w:rFonts w:ascii="黑体" w:hAnsi="黑体" w:eastAsia="黑体"/>
          <w:b w:val="0"/>
          <w:color w:val="auto"/>
          <w:highlight w:val="none"/>
        </w:rPr>
      </w:pPr>
      <w:bookmarkStart w:id="40" w:name="_Toc15377215"/>
      <w:bookmarkStart w:id="41"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40"/>
      <w:bookmarkEnd w:id="41"/>
    </w:p>
    <w:p w14:paraId="355FDF6A">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14:paraId="461E8AA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p>
    <w:p w14:paraId="1F8E43E0">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14:paraId="46F10BA1">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196E45C2">
      <w:pPr>
        <w:spacing w:line="600" w:lineRule="exact"/>
        <w:ind w:firstLine="640"/>
        <w:rPr>
          <w:rFonts w:ascii="仿宋_GB2312" w:eastAsia="仿宋_GB2312"/>
          <w:b w:val="0"/>
          <w:bCs/>
          <w:color w:val="auto"/>
          <w:sz w:val="32"/>
          <w:szCs w:val="32"/>
          <w:highlight w:val="none"/>
        </w:rPr>
      </w:pPr>
      <w:r>
        <w:rPr>
          <w:rFonts w:ascii="仿宋_GB2312" w:eastAsia="仿宋_GB2312"/>
          <w:b w:val="0"/>
          <w:bCs/>
          <w:color w:val="auto"/>
          <w:sz w:val="32"/>
          <w:szCs w:val="32"/>
          <w:highlight w:val="none"/>
        </w:rPr>
        <w:t>1.</w:t>
      </w:r>
      <w:r>
        <w:rPr>
          <w:rFonts w:hint="eastAsia" w:ascii="仿宋_GB2312" w:eastAsia="仿宋_GB2312"/>
          <w:b w:val="0"/>
          <w:bCs/>
          <w:color w:val="auto"/>
          <w:sz w:val="32"/>
          <w:szCs w:val="32"/>
          <w:highlight w:val="none"/>
        </w:rPr>
        <w:t>因公出国（境）经费支出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b w:val="0"/>
          <w:bCs/>
          <w:color w:val="auto"/>
          <w:sz w:val="32"/>
          <w:szCs w:val="32"/>
          <w:highlight w:val="none"/>
        </w:rPr>
        <w:t>全年安排因公出国（境）团组</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次，出国（境）</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人。因公出国（境）支出决算</w:t>
      </w:r>
      <w:r>
        <w:rPr>
          <w:rFonts w:hint="eastAsia" w:ascii="仿宋_GB2312" w:eastAsia="仿宋_GB2312"/>
          <w:b w:val="0"/>
          <w:bCs/>
          <w:color w:val="auto"/>
          <w:sz w:val="32"/>
          <w:szCs w:val="32"/>
          <w:highlight w:val="none"/>
          <w:lang w:eastAsia="zh-CN"/>
        </w:rPr>
        <w:t>与</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持平</w:t>
      </w:r>
      <w:r>
        <w:rPr>
          <w:rFonts w:hint="eastAsia" w:ascii="仿宋_GB2312" w:eastAsia="仿宋_GB2312"/>
          <w:b w:val="0"/>
          <w:bCs/>
          <w:color w:val="auto"/>
          <w:sz w:val="32"/>
          <w:szCs w:val="32"/>
          <w:highlight w:val="none"/>
        </w:rPr>
        <w:t>。</w:t>
      </w:r>
    </w:p>
    <w:p w14:paraId="0FB6C220">
      <w:pPr>
        <w:spacing w:line="600" w:lineRule="exact"/>
        <w:ind w:firstLine="640"/>
        <w:rPr>
          <w:rFonts w:ascii="仿宋_GB2312" w:eastAsia="仿宋_GB2312"/>
          <w:b w:val="0"/>
          <w:bCs/>
          <w:color w:val="auto"/>
          <w:sz w:val="32"/>
          <w:szCs w:val="32"/>
          <w:highlight w:val="none"/>
        </w:rPr>
      </w:pPr>
      <w:r>
        <w:rPr>
          <w:rFonts w:ascii="仿宋_GB2312" w:eastAsia="仿宋_GB2312"/>
          <w:b w:val="0"/>
          <w:bCs/>
          <w:color w:val="auto"/>
          <w:sz w:val="32"/>
          <w:szCs w:val="32"/>
          <w:highlight w:val="none"/>
        </w:rPr>
        <w:t>2.</w:t>
      </w:r>
      <w:r>
        <w:rPr>
          <w:rFonts w:hint="eastAsia" w:ascii="仿宋_GB2312" w:eastAsia="仿宋_GB2312"/>
          <w:b w:val="0"/>
          <w:bCs/>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b w:val="0"/>
          <w:bCs/>
          <w:color w:val="auto"/>
          <w:sz w:val="32"/>
          <w:szCs w:val="32"/>
          <w:highlight w:val="none"/>
        </w:rPr>
        <w:t>公务用车购置及运行维护费支出决算</w:t>
      </w:r>
      <w:r>
        <w:rPr>
          <w:rFonts w:hint="eastAsia" w:ascii="仿宋_GB2312" w:eastAsia="仿宋_GB2312"/>
          <w:b w:val="0"/>
          <w:bCs/>
          <w:color w:val="auto"/>
          <w:sz w:val="32"/>
          <w:szCs w:val="32"/>
          <w:highlight w:val="none"/>
          <w:lang w:eastAsia="zh-CN"/>
        </w:rPr>
        <w:t>与</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持平</w:t>
      </w:r>
      <w:r>
        <w:rPr>
          <w:rFonts w:hint="eastAsia" w:ascii="仿宋_GB2312" w:eastAsia="仿宋_GB2312"/>
          <w:b w:val="0"/>
          <w:bCs/>
          <w:color w:val="auto"/>
          <w:sz w:val="32"/>
          <w:szCs w:val="32"/>
          <w:highlight w:val="none"/>
        </w:rPr>
        <w:t>。</w:t>
      </w:r>
    </w:p>
    <w:p w14:paraId="594B915E">
      <w:pPr>
        <w:spacing w:line="600" w:lineRule="exact"/>
        <w:ind w:firstLine="640" w:firstLineChars="200"/>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其中：公务用车购置支出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万元。全年按规定更新购置公务用车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辆，其中：轿车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万元，越野车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万元，载客汽车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万元。截至</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21</w:t>
      </w:r>
      <w:r>
        <w:rPr>
          <w:rFonts w:hint="eastAsia" w:ascii="仿宋_GB2312" w:eastAsia="仿宋_GB2312"/>
          <w:b w:val="0"/>
          <w:bCs/>
          <w:color w:val="auto"/>
          <w:sz w:val="32"/>
          <w:szCs w:val="32"/>
          <w:highlight w:val="none"/>
        </w:rPr>
        <w:t>年</w:t>
      </w:r>
      <w:r>
        <w:rPr>
          <w:rFonts w:ascii="仿宋_GB2312" w:eastAsia="仿宋_GB2312"/>
          <w:b w:val="0"/>
          <w:bCs/>
          <w:color w:val="auto"/>
          <w:sz w:val="32"/>
          <w:szCs w:val="32"/>
          <w:highlight w:val="none"/>
        </w:rPr>
        <w:t>12</w:t>
      </w:r>
      <w:r>
        <w:rPr>
          <w:rFonts w:hint="eastAsia" w:ascii="仿宋_GB2312" w:eastAsia="仿宋_GB2312"/>
          <w:b w:val="0"/>
          <w:bCs/>
          <w:color w:val="auto"/>
          <w:sz w:val="32"/>
          <w:szCs w:val="32"/>
          <w:highlight w:val="none"/>
        </w:rPr>
        <w:t>月底，单位共有公务用车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辆，其中：轿车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辆、越野车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辆、载客汽车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w:t>
      </w:r>
    </w:p>
    <w:p w14:paraId="46407952">
      <w:pPr>
        <w:spacing w:line="600" w:lineRule="exact"/>
        <w:ind w:firstLine="640"/>
        <w:rPr>
          <w:rFonts w:hint="eastAsia"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14:paraId="74ED3F04">
      <w:pPr>
        <w:spacing w:line="600" w:lineRule="exact"/>
        <w:ind w:firstLine="640"/>
        <w:rPr>
          <w:rFonts w:ascii="仿宋_GB2312" w:eastAsia="仿宋_GB2312"/>
          <w:b w:val="0"/>
          <w:bCs/>
          <w:color w:val="auto"/>
          <w:sz w:val="32"/>
          <w:szCs w:val="32"/>
          <w:highlight w:val="none"/>
        </w:rPr>
      </w:pPr>
      <w:r>
        <w:rPr>
          <w:rFonts w:ascii="仿宋_GB2312" w:eastAsia="仿宋_GB2312"/>
          <w:b w:val="0"/>
          <w:bCs/>
          <w:color w:val="auto"/>
          <w:sz w:val="32"/>
          <w:szCs w:val="32"/>
          <w:highlight w:val="none"/>
        </w:rPr>
        <w:t>3.</w:t>
      </w:r>
      <w:r>
        <w:rPr>
          <w:rFonts w:hint="eastAsia" w:ascii="仿宋_GB2312" w:eastAsia="仿宋_GB2312"/>
          <w:b w:val="0"/>
          <w:bCs/>
          <w:color w:val="auto"/>
          <w:sz w:val="32"/>
          <w:szCs w:val="32"/>
          <w:highlight w:val="none"/>
        </w:rPr>
        <w:t>公务接待费支出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b w:val="0"/>
          <w:bCs/>
          <w:color w:val="auto"/>
          <w:sz w:val="32"/>
          <w:szCs w:val="32"/>
          <w:highlight w:val="none"/>
        </w:rPr>
        <w:t>公务接待费支出决算</w:t>
      </w:r>
      <w:r>
        <w:rPr>
          <w:rFonts w:hint="eastAsia" w:ascii="仿宋_GB2312" w:eastAsia="仿宋_GB2312"/>
          <w:b w:val="0"/>
          <w:bCs/>
          <w:color w:val="auto"/>
          <w:sz w:val="32"/>
          <w:szCs w:val="32"/>
          <w:highlight w:val="none"/>
          <w:lang w:eastAsia="zh-CN"/>
        </w:rPr>
        <w:t>与</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年</w:t>
      </w:r>
      <w:r>
        <w:rPr>
          <w:rFonts w:hint="eastAsia" w:ascii="仿宋_GB2312" w:eastAsia="仿宋_GB2312"/>
          <w:b w:val="0"/>
          <w:bCs/>
          <w:color w:val="auto"/>
          <w:sz w:val="32"/>
          <w:szCs w:val="32"/>
          <w:highlight w:val="none"/>
          <w:lang w:eastAsia="zh-CN"/>
        </w:rPr>
        <w:t>持平</w:t>
      </w:r>
      <w:r>
        <w:rPr>
          <w:rFonts w:hint="eastAsia" w:ascii="仿宋_GB2312" w:eastAsia="仿宋_GB2312"/>
          <w:b w:val="0"/>
          <w:bCs/>
          <w:color w:val="auto"/>
          <w:sz w:val="32"/>
          <w:szCs w:val="32"/>
          <w:highlight w:val="none"/>
        </w:rPr>
        <w:t>。其中：</w:t>
      </w:r>
    </w:p>
    <w:p w14:paraId="76CFF37E">
      <w:pPr>
        <w:spacing w:line="600" w:lineRule="exact"/>
        <w:ind w:firstLine="640"/>
        <w:rPr>
          <w:rFonts w:ascii="仿宋_GB2312" w:eastAsia="仿宋_GB2312"/>
          <w:b w:val="0"/>
          <w:bCs/>
          <w:color w:val="auto"/>
          <w:sz w:val="32"/>
          <w:szCs w:val="32"/>
          <w:highlight w:val="none"/>
        </w:rPr>
      </w:pPr>
      <w:r>
        <w:rPr>
          <w:rFonts w:hint="eastAsia" w:ascii="仿宋" w:hAnsi="仿宋" w:eastAsia="仿宋"/>
          <w:b w:val="0"/>
          <w:bCs/>
          <w:color w:val="auto"/>
          <w:sz w:val="32"/>
          <w:szCs w:val="32"/>
          <w:highlight w:val="none"/>
        </w:rPr>
        <w:t>国内公务接待支出</w:t>
      </w:r>
      <w:r>
        <w:rPr>
          <w:rFonts w:hint="eastAsia" w:ascii="仿宋" w:hAnsi="仿宋" w:eastAsia="仿宋"/>
          <w:b w:val="0"/>
          <w:bCs/>
          <w:color w:val="auto"/>
          <w:sz w:val="32"/>
          <w:szCs w:val="32"/>
          <w:highlight w:val="none"/>
          <w:lang w:val="en-US" w:eastAsia="zh-CN"/>
        </w:rPr>
        <w:t>0</w:t>
      </w:r>
      <w:r>
        <w:rPr>
          <w:rFonts w:hint="eastAsia" w:ascii="仿宋_GB2312" w:eastAsia="仿宋_GB2312"/>
          <w:b w:val="0"/>
          <w:bCs/>
          <w:color w:val="auto"/>
          <w:sz w:val="32"/>
          <w:szCs w:val="32"/>
          <w:highlight w:val="none"/>
        </w:rPr>
        <w:t>万元。国内公务接待</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批次，</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人次（不包括陪同人员），共计支出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14:paraId="7B0EAC07">
      <w:pPr>
        <w:spacing w:line="600" w:lineRule="exact"/>
        <w:ind w:firstLine="640" w:firstLineChars="200"/>
        <w:rPr>
          <w:rFonts w:hint="eastAsia" w:ascii="仿宋_GB2312" w:eastAsia="仿宋_GB2312"/>
          <w:b w:val="0"/>
          <w:bCs/>
          <w:color w:val="auto"/>
          <w:sz w:val="32"/>
          <w:szCs w:val="32"/>
          <w:highlight w:val="none"/>
        </w:rPr>
      </w:pPr>
      <w:r>
        <w:rPr>
          <w:rFonts w:hint="eastAsia" w:ascii="仿宋" w:hAnsi="仿宋" w:eastAsia="仿宋"/>
          <w:b w:val="0"/>
          <w:bCs/>
          <w:color w:val="auto"/>
          <w:sz w:val="32"/>
          <w:szCs w:val="32"/>
          <w:highlight w:val="none"/>
        </w:rPr>
        <w:t>外事接待支出</w:t>
      </w:r>
      <w:r>
        <w:rPr>
          <w:rFonts w:hint="eastAsia" w:ascii="仿宋" w:hAnsi="仿宋" w:eastAsia="仿宋"/>
          <w:b w:val="0"/>
          <w:bCs/>
          <w:color w:val="auto"/>
          <w:sz w:val="32"/>
          <w:szCs w:val="32"/>
          <w:highlight w:val="none"/>
          <w:lang w:val="en-US" w:eastAsia="zh-CN"/>
        </w:rPr>
        <w:t>0</w:t>
      </w:r>
      <w:r>
        <w:rPr>
          <w:rFonts w:hint="eastAsia" w:ascii="仿宋_GB2312" w:eastAsia="仿宋_GB2312"/>
          <w:b w:val="0"/>
          <w:bCs/>
          <w:color w:val="auto"/>
          <w:sz w:val="32"/>
          <w:szCs w:val="32"/>
          <w:highlight w:val="none"/>
        </w:rPr>
        <w:t>万元，外事接待</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批次，</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人，共计支出</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w:t>
      </w:r>
    </w:p>
    <w:p w14:paraId="697D4357">
      <w:pPr>
        <w:pStyle w:val="2"/>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249669">
      <w:pPr>
        <w:spacing w:line="600" w:lineRule="exact"/>
        <w:ind w:firstLine="640" w:firstLineChars="200"/>
        <w:rPr>
          <w:rFonts w:ascii="仿宋" w:hAnsi="仿宋" w:eastAsia="仿宋"/>
          <w:color w:val="auto"/>
          <w:sz w:val="32"/>
          <w:szCs w:val="32"/>
          <w:highlight w:val="none"/>
        </w:rPr>
      </w:pPr>
      <w:bookmarkStart w:id="44" w:name="_Toc15377218"/>
      <w:bookmarkStart w:id="45" w:name="_Toc15396610"/>
      <w:r>
        <w:rPr>
          <w:rFonts w:hint="eastAsia" w:ascii="仿宋" w:hAnsi="仿宋" w:eastAsia="仿宋"/>
          <w:color w:val="auto"/>
          <w:sz w:val="32"/>
          <w:szCs w:val="32"/>
          <w:highlight w:val="none"/>
        </w:rPr>
        <w:t>（图6：</w:t>
      </w:r>
      <w:r>
        <w:rPr>
          <w:rFonts w:hint="eastAsia" w:ascii="仿宋" w:hAnsi="仿宋" w:eastAsia="仿宋"/>
          <w:color w:val="auto"/>
          <w:sz w:val="32"/>
          <w:szCs w:val="32"/>
          <w:highlight w:val="none"/>
          <w:lang w:eastAsia="zh-CN"/>
        </w:rPr>
        <w:t>三公经费</w:t>
      </w:r>
      <w:r>
        <w:rPr>
          <w:rFonts w:hint="eastAsia" w:ascii="仿宋" w:hAnsi="仿宋" w:eastAsia="仿宋"/>
          <w:color w:val="auto"/>
          <w:sz w:val="32"/>
          <w:szCs w:val="32"/>
          <w:highlight w:val="none"/>
        </w:rPr>
        <w:t>决算结构）（饼状图）</w:t>
      </w:r>
    </w:p>
    <w:p w14:paraId="087C56FC">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4"/>
      <w:bookmarkEnd w:id="45"/>
    </w:p>
    <w:p w14:paraId="09415191">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13.16</w:t>
      </w:r>
      <w:r>
        <w:rPr>
          <w:rFonts w:hint="eastAsia" w:ascii="仿宋_GB2312" w:eastAsia="仿宋_GB2312"/>
          <w:color w:val="auto"/>
          <w:sz w:val="32"/>
          <w:szCs w:val="32"/>
          <w:highlight w:val="none"/>
        </w:rPr>
        <w:t>万元。</w:t>
      </w:r>
    </w:p>
    <w:p w14:paraId="7B64E750">
      <w:pPr>
        <w:spacing w:line="600" w:lineRule="exact"/>
        <w:ind w:firstLine="640"/>
        <w:rPr>
          <w:rFonts w:ascii="仿宋_GB2312" w:eastAsia="仿宋_GB2312"/>
          <w:color w:val="auto"/>
          <w:sz w:val="32"/>
          <w:szCs w:val="32"/>
          <w:highlight w:val="none"/>
        </w:rPr>
      </w:pPr>
    </w:p>
    <w:p w14:paraId="78E318AE">
      <w:pPr>
        <w:numPr>
          <w:ilvl w:val="0"/>
          <w:numId w:val="2"/>
        </w:numPr>
        <w:spacing w:line="600" w:lineRule="exact"/>
        <w:ind w:firstLine="640"/>
        <w:outlineLvl w:val="1"/>
        <w:rPr>
          <w:rStyle w:val="27"/>
          <w:rFonts w:ascii="黑体" w:hAnsi="黑体" w:eastAsia="黑体"/>
          <w:b w:val="0"/>
          <w:color w:val="auto"/>
          <w:highlight w:val="none"/>
        </w:rPr>
      </w:pPr>
      <w:bookmarkStart w:id="46" w:name="_Toc15396611"/>
      <w:bookmarkStart w:id="47" w:name="_Toc15377219"/>
      <w:r>
        <w:rPr>
          <w:rStyle w:val="27"/>
          <w:rFonts w:hint="eastAsia" w:ascii="黑体" w:hAnsi="黑体" w:eastAsia="黑体"/>
          <w:b w:val="0"/>
          <w:color w:val="auto"/>
          <w:highlight w:val="none"/>
        </w:rPr>
        <w:t>国有资本经营预算支出决算情况说明</w:t>
      </w:r>
      <w:bookmarkEnd w:id="46"/>
      <w:bookmarkEnd w:id="47"/>
    </w:p>
    <w:p w14:paraId="1836253C">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2499DA1">
      <w:pPr>
        <w:spacing w:line="580" w:lineRule="exact"/>
        <w:jc w:val="center"/>
        <w:rPr>
          <w:rFonts w:ascii="方正小标宋简体" w:hAnsi="方正小标宋简体" w:eastAsia="方正小标宋简体" w:cs="方正小标宋简体"/>
          <w:color w:val="auto"/>
          <w:sz w:val="44"/>
          <w:szCs w:val="44"/>
          <w:highlight w:val="none"/>
        </w:rPr>
      </w:pPr>
    </w:p>
    <w:p w14:paraId="5B63CFBF">
      <w:pPr>
        <w:numPr>
          <w:ilvl w:val="0"/>
          <w:numId w:val="2"/>
        </w:numPr>
        <w:spacing w:line="600" w:lineRule="exact"/>
        <w:ind w:firstLine="640"/>
        <w:outlineLvl w:val="1"/>
        <w:rPr>
          <w:rStyle w:val="27"/>
          <w:rFonts w:hint="eastAsia" w:ascii="黑体" w:hAnsi="黑体" w:eastAsia="黑体"/>
          <w:b w:val="0"/>
          <w:color w:val="auto"/>
          <w:highlight w:val="none"/>
        </w:rPr>
      </w:pPr>
      <w:bookmarkStart w:id="48" w:name="_Toc15377221"/>
      <w:bookmarkStart w:id="49" w:name="_Toc15396612"/>
      <w:r>
        <w:rPr>
          <w:rStyle w:val="27"/>
          <w:rFonts w:hint="eastAsia" w:ascii="黑体" w:hAnsi="黑体" w:eastAsia="黑体"/>
          <w:b w:val="0"/>
          <w:color w:val="auto"/>
          <w:highlight w:val="none"/>
        </w:rPr>
        <w:t>其他重要事项的情况说明</w:t>
      </w:r>
      <w:bookmarkEnd w:id="48"/>
      <w:bookmarkEnd w:id="49"/>
    </w:p>
    <w:p w14:paraId="33AFC156">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14:paraId="14F314B5">
      <w:pPr>
        <w:autoSpaceDE w:val="0"/>
        <w:autoSpaceDN w:val="0"/>
        <w:adjustRightInd w:val="0"/>
        <w:spacing w:line="600" w:lineRule="exact"/>
        <w:ind w:firstLine="640" w:firstLineChars="200"/>
        <w:jc w:val="left"/>
        <w:outlineLvl w:val="2"/>
        <w:rPr>
          <w:rFonts w:ascii="仿宋" w:hAnsi="仿宋" w:eastAsia="仿宋" w:cs="仿宋"/>
          <w:i w:val="0"/>
          <w:iCs w:val="0"/>
          <w:caps w:val="0"/>
          <w:color w:val="000000"/>
          <w:spacing w:val="0"/>
          <w:sz w:val="32"/>
          <w:szCs w:val="32"/>
          <w:shd w:val="clear" w:color="auto" w:fill="FFFFFF"/>
        </w:rPr>
      </w:pPr>
      <w:r>
        <w:rPr>
          <w:rFonts w:hint="eastAsia" w:ascii="仿宋_GB2312" w:eastAsia="仿宋_GB2312"/>
          <w:color w:val="auto"/>
          <w:sz w:val="32"/>
          <w:szCs w:val="32"/>
          <w:highlight w:val="none"/>
          <w:lang w:eastAsia="zh-CN"/>
        </w:rPr>
        <w:t>遂宁经济技术开发区自然资源和规划中心</w:t>
      </w:r>
      <w:r>
        <w:rPr>
          <w:rFonts w:hint="eastAsia" w:ascii="仿宋_GB2312" w:eastAsia="仿宋_GB2312"/>
          <w:color w:val="auto"/>
          <w:sz w:val="32"/>
          <w:szCs w:val="32"/>
          <w:highlight w:val="none"/>
        </w:rPr>
        <w:t>为事业单位，无机关运行经费。</w:t>
      </w:r>
    </w:p>
    <w:p w14:paraId="0FAA1B3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14:paraId="70E18E22">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经开自规中心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D83F7F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14:paraId="0CB84D85">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经开自规中心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A28368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41A79BA5">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土地出让业务</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p>
    <w:p w14:paraId="75DF8CBE">
      <w:pPr>
        <w:spacing w:line="580" w:lineRule="exact"/>
        <w:ind w:firstLine="640" w:firstLineChars="200"/>
        <w:rPr>
          <w:rFonts w:hint="eastAsia" w:ascii="仿宋_GB2312" w:hAnsi="仿宋_GB2312" w:eastAsia="仿宋_GB2312" w:cs="仿宋_GB2312"/>
          <w:color w:val="auto"/>
          <w:sz w:val="32"/>
          <w:szCs w:val="32"/>
          <w:highlight w:val="none"/>
        </w:rPr>
      </w:pPr>
    </w:p>
    <w:p w14:paraId="1825AEA3">
      <w:pPr>
        <w:pStyle w:val="17"/>
        <w:rPr>
          <w:rFonts w:hint="eastAsia" w:ascii="仿宋_GB2312" w:hAnsi="仿宋_GB2312" w:eastAsia="仿宋_GB2312" w:cs="仿宋_GB2312"/>
          <w:color w:val="auto"/>
          <w:sz w:val="32"/>
          <w:szCs w:val="32"/>
          <w:highlight w:val="none"/>
        </w:rPr>
      </w:pPr>
    </w:p>
    <w:p w14:paraId="153C1A4C">
      <w:pPr>
        <w:pStyle w:val="17"/>
        <w:rPr>
          <w:rFonts w:hint="eastAsia" w:ascii="仿宋_GB2312" w:hAnsi="仿宋_GB2312" w:eastAsia="仿宋_GB2312" w:cs="仿宋_GB2312"/>
          <w:color w:val="auto"/>
          <w:sz w:val="32"/>
          <w:szCs w:val="32"/>
          <w:highlight w:val="none"/>
        </w:rPr>
      </w:pPr>
    </w:p>
    <w:p w14:paraId="699A1161">
      <w:pPr>
        <w:pStyle w:val="17"/>
        <w:rPr>
          <w:rFonts w:hint="eastAsia" w:ascii="仿宋_GB2312" w:hAnsi="仿宋_GB2312" w:eastAsia="仿宋_GB2312" w:cs="仿宋_GB2312"/>
          <w:color w:val="auto"/>
          <w:sz w:val="32"/>
          <w:szCs w:val="32"/>
          <w:highlight w:val="none"/>
        </w:rPr>
      </w:pPr>
    </w:p>
    <w:p w14:paraId="737680BB">
      <w:pPr>
        <w:pStyle w:val="17"/>
        <w:rPr>
          <w:rFonts w:hint="eastAsia" w:ascii="仿宋_GB2312" w:hAnsi="仿宋_GB2312" w:eastAsia="仿宋_GB2312" w:cs="仿宋_GB2312"/>
          <w:color w:val="auto"/>
          <w:sz w:val="32"/>
          <w:szCs w:val="32"/>
          <w:highlight w:val="none"/>
        </w:rPr>
      </w:pPr>
    </w:p>
    <w:p w14:paraId="1476B0B4">
      <w:pPr>
        <w:pStyle w:val="17"/>
        <w:rPr>
          <w:rFonts w:hint="eastAsia" w:ascii="仿宋_GB2312" w:hAnsi="仿宋_GB2312" w:eastAsia="仿宋_GB2312" w:cs="仿宋_GB2312"/>
          <w:color w:val="auto"/>
          <w:sz w:val="32"/>
          <w:szCs w:val="32"/>
          <w:highlight w:val="none"/>
        </w:rPr>
      </w:pPr>
    </w:p>
    <w:p w14:paraId="3717C322">
      <w:pPr>
        <w:pStyle w:val="17"/>
        <w:rPr>
          <w:rFonts w:hint="eastAsia" w:ascii="仿宋_GB2312" w:hAnsi="仿宋_GB2312" w:eastAsia="仿宋_GB2312" w:cs="仿宋_GB2312"/>
          <w:color w:val="auto"/>
          <w:sz w:val="32"/>
          <w:szCs w:val="32"/>
          <w:highlight w:val="none"/>
        </w:rPr>
      </w:pPr>
    </w:p>
    <w:p w14:paraId="1A8BDD87">
      <w:pPr>
        <w:pStyle w:val="17"/>
        <w:rPr>
          <w:rFonts w:hint="eastAsia" w:ascii="仿宋_GB2312" w:hAnsi="仿宋_GB2312" w:eastAsia="仿宋_GB2312" w:cs="仿宋_GB2312"/>
          <w:color w:val="auto"/>
          <w:sz w:val="32"/>
          <w:szCs w:val="32"/>
          <w:highlight w:val="none"/>
        </w:rPr>
      </w:pPr>
    </w:p>
    <w:p w14:paraId="20D573E1">
      <w:pPr>
        <w:pStyle w:val="17"/>
        <w:rPr>
          <w:rFonts w:hint="eastAsia" w:ascii="仿宋_GB2312" w:hAnsi="仿宋_GB2312" w:eastAsia="仿宋_GB2312" w:cs="仿宋_GB2312"/>
          <w:color w:val="auto"/>
          <w:sz w:val="32"/>
          <w:szCs w:val="32"/>
          <w:highlight w:val="none"/>
        </w:rPr>
      </w:pPr>
    </w:p>
    <w:p w14:paraId="585B30F6">
      <w:pPr>
        <w:pStyle w:val="17"/>
        <w:rPr>
          <w:rFonts w:hint="eastAsia" w:ascii="仿宋_GB2312" w:hAnsi="仿宋_GB2312" w:eastAsia="仿宋_GB2312" w:cs="仿宋_GB2312"/>
          <w:color w:val="auto"/>
          <w:sz w:val="32"/>
          <w:szCs w:val="32"/>
          <w:highlight w:val="none"/>
        </w:rPr>
      </w:pPr>
    </w:p>
    <w:p w14:paraId="62E24E15">
      <w:pPr>
        <w:pStyle w:val="17"/>
        <w:rPr>
          <w:rFonts w:hint="eastAsia" w:ascii="仿宋_GB2312" w:hAnsi="仿宋_GB2312" w:eastAsia="仿宋_GB2312" w:cs="仿宋_GB2312"/>
          <w:color w:val="auto"/>
          <w:sz w:val="32"/>
          <w:szCs w:val="32"/>
          <w:highlight w:val="none"/>
        </w:rPr>
      </w:pPr>
    </w:p>
    <w:p w14:paraId="32C46118">
      <w:pPr>
        <w:pStyle w:val="17"/>
        <w:rPr>
          <w:rFonts w:hint="eastAsia" w:ascii="仿宋_GB2312" w:hAnsi="仿宋_GB2312" w:eastAsia="仿宋_GB2312" w:cs="仿宋_GB2312"/>
          <w:color w:val="auto"/>
          <w:sz w:val="32"/>
          <w:szCs w:val="32"/>
          <w:highlight w:val="none"/>
        </w:rPr>
      </w:pPr>
    </w:p>
    <w:p w14:paraId="60A49A06">
      <w:pPr>
        <w:pStyle w:val="17"/>
        <w:rPr>
          <w:rFonts w:hint="eastAsia" w:ascii="仿宋_GB2312" w:hAnsi="仿宋_GB2312" w:eastAsia="仿宋_GB2312" w:cs="仿宋_GB2312"/>
          <w:color w:val="auto"/>
          <w:sz w:val="32"/>
          <w:szCs w:val="32"/>
          <w:highlight w:val="none"/>
        </w:rPr>
      </w:pPr>
    </w:p>
    <w:p w14:paraId="4A5DD03A">
      <w:pPr>
        <w:pStyle w:val="17"/>
        <w:rPr>
          <w:rFonts w:hint="eastAsia" w:ascii="仿宋_GB2312" w:hAnsi="仿宋_GB2312" w:eastAsia="仿宋_GB2312" w:cs="仿宋_GB2312"/>
          <w:color w:val="auto"/>
          <w:sz w:val="32"/>
          <w:szCs w:val="32"/>
          <w:highlight w:val="none"/>
        </w:rPr>
      </w:pPr>
    </w:p>
    <w:p w14:paraId="310EE056">
      <w:pPr>
        <w:pStyle w:val="17"/>
        <w:rPr>
          <w:rFonts w:hint="eastAsia" w:ascii="仿宋_GB2312" w:hAnsi="仿宋_GB2312" w:eastAsia="仿宋_GB2312" w:cs="仿宋_GB2312"/>
          <w:color w:val="auto"/>
          <w:sz w:val="32"/>
          <w:szCs w:val="32"/>
          <w:highlight w:val="none"/>
        </w:rPr>
      </w:pPr>
    </w:p>
    <w:p w14:paraId="10A8416B">
      <w:pPr>
        <w:pStyle w:val="17"/>
        <w:rPr>
          <w:rFonts w:hint="eastAsia" w:ascii="仿宋_GB2312" w:hAnsi="仿宋_GB2312" w:eastAsia="仿宋_GB2312" w:cs="仿宋_GB2312"/>
          <w:color w:val="auto"/>
          <w:sz w:val="32"/>
          <w:szCs w:val="32"/>
          <w:highlight w:val="none"/>
        </w:rPr>
      </w:pPr>
    </w:p>
    <w:p w14:paraId="2CEA4905">
      <w:pPr>
        <w:pStyle w:val="17"/>
      </w:pPr>
    </w:p>
    <w:p w14:paraId="2B86FF41">
      <w:pPr>
        <w:pStyle w:val="17"/>
      </w:pPr>
    </w:p>
    <w:p w14:paraId="0CE5DC2C">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53"/>
      <w:bookmarkEnd w:id="54"/>
    </w:p>
    <w:p w14:paraId="68C8D91F">
      <w:pPr>
        <w:spacing w:line="600" w:lineRule="exact"/>
        <w:jc w:val="left"/>
        <w:rPr>
          <w:rFonts w:ascii="宋体"/>
          <w:b/>
          <w:color w:val="auto"/>
          <w:sz w:val="44"/>
          <w:szCs w:val="44"/>
          <w:highlight w:val="none"/>
        </w:rPr>
      </w:pPr>
    </w:p>
    <w:p w14:paraId="267B93E5">
      <w:pPr>
        <w:pStyle w:val="2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0C42B86">
      <w:pPr>
        <w:pStyle w:val="2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1B5F72CA">
      <w:pPr>
        <w:pStyle w:val="24"/>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0D22F3F8">
      <w:pPr>
        <w:pStyle w:val="2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11FB3DDC">
      <w:pPr>
        <w:pStyle w:val="2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2BCAF980">
      <w:pPr>
        <w:pStyle w:val="2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56076CF">
      <w:pPr>
        <w:pStyle w:val="2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842577C">
      <w:pPr>
        <w:pStyle w:val="24"/>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842FA7C">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9.行政单位离退休208（类）05（款）01（项）：指反映行政单位）开支的离退休经费。</w:t>
      </w:r>
    </w:p>
    <w:p w14:paraId="066EFC3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10.事业单位离退休208（类）05（款）02（项）：指反应事业单位开支的离退休经费。</w:t>
      </w:r>
    </w:p>
    <w:p w14:paraId="633222C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11.机关事业单位基本养老保险缴费支出208（类）05（款）05（项）：指反映机关事业单位实施养老保险制度由单位缴纳的基本养老保险费支出。</w:t>
      </w:r>
      <w:r>
        <w:rPr>
          <w:rFonts w:hint="eastAsia" w:ascii="仿宋_GB2312" w:hAnsi="Times New Roman" w:eastAsia="仿宋_GB2312" w:cs="仿宋"/>
          <w:color w:val="000000"/>
          <w:kern w:val="0"/>
          <w:sz w:val="32"/>
          <w:szCs w:val="32"/>
          <w:lang w:val="en-US" w:eastAsia="zh-CN" w:bidi="ar-SA"/>
        </w:rPr>
        <w:br w:type="textWrapping"/>
      </w:r>
      <w:r>
        <w:rPr>
          <w:rFonts w:hint="eastAsia" w:ascii="仿宋_GB2312" w:eastAsia="仿宋_GB2312" w:cs="仿宋"/>
          <w:color w:val="000000"/>
          <w:kern w:val="0"/>
          <w:sz w:val="32"/>
          <w:szCs w:val="32"/>
          <w:lang w:val="en-US" w:eastAsia="zh-CN" w:bidi="ar-SA"/>
        </w:rPr>
        <w:t xml:space="preserve">    </w:t>
      </w:r>
      <w:r>
        <w:rPr>
          <w:rFonts w:hint="eastAsia" w:ascii="仿宋_GB2312" w:hAnsi="Times New Roman" w:eastAsia="仿宋_GB2312" w:cs="仿宋"/>
          <w:color w:val="000000"/>
          <w:kern w:val="0"/>
          <w:sz w:val="32"/>
          <w:szCs w:val="32"/>
          <w:lang w:val="en-US" w:eastAsia="zh-CN" w:bidi="ar-SA"/>
        </w:rPr>
        <w:t>12.行政单位医疗210（类）11（款）01（项）：指反映财政部门安排的行政单位（包括实行公务员管理的单位，下同）基本医疗保险缴费经费，未参加医疗保险的行政单位的公费医疗经费，按国家规定享受离休人员、红军老战士待遇人员的医疗经费。</w:t>
      </w:r>
      <w:r>
        <w:rPr>
          <w:rFonts w:hint="eastAsia" w:ascii="仿宋_GB2312" w:hAnsi="Times New Roman" w:eastAsia="仿宋_GB2312" w:cs="仿宋"/>
          <w:color w:val="000000"/>
          <w:kern w:val="0"/>
          <w:sz w:val="32"/>
          <w:szCs w:val="32"/>
          <w:lang w:val="en-US" w:eastAsia="zh-CN" w:bidi="ar-SA"/>
        </w:rPr>
        <w:br w:type="textWrapping"/>
      </w:r>
      <w:r>
        <w:rPr>
          <w:rFonts w:hint="eastAsia" w:ascii="仿宋_GB2312" w:eastAsia="仿宋_GB2312" w:cs="仿宋"/>
          <w:color w:val="000000"/>
          <w:kern w:val="0"/>
          <w:sz w:val="32"/>
          <w:szCs w:val="32"/>
          <w:lang w:val="en-US" w:eastAsia="zh-CN" w:bidi="ar-SA"/>
        </w:rPr>
        <w:t xml:space="preserve">    </w:t>
      </w:r>
      <w:r>
        <w:rPr>
          <w:rFonts w:hint="eastAsia" w:ascii="仿宋_GB2312" w:hAnsi="Times New Roman" w:eastAsia="仿宋_GB2312" w:cs="仿宋"/>
          <w:color w:val="000000"/>
          <w:kern w:val="0"/>
          <w:sz w:val="32"/>
          <w:szCs w:val="32"/>
          <w:lang w:val="en-US" w:eastAsia="zh-CN" w:bidi="ar-SA"/>
        </w:rPr>
        <w:t>13.事业单位医疗210（类）11（款）02（项）：指反映财政部门安排的事业单位基本医疗保险缴费经费，未参加医疗保险的事业单位的公费医疗经费，按国家规定享受离休人员待遇的医疗经费。</w:t>
      </w:r>
      <w:r>
        <w:rPr>
          <w:rFonts w:hint="eastAsia" w:ascii="仿宋_GB2312" w:hAnsi="Times New Roman" w:eastAsia="仿宋_GB2312" w:cs="仿宋"/>
          <w:color w:val="000000"/>
          <w:kern w:val="0"/>
          <w:sz w:val="32"/>
          <w:szCs w:val="32"/>
          <w:lang w:val="en-US" w:eastAsia="zh-CN" w:bidi="ar-SA"/>
        </w:rPr>
        <w:br w:type="textWrapping"/>
      </w:r>
      <w:r>
        <w:rPr>
          <w:rFonts w:hint="eastAsia" w:ascii="仿宋_GB2312" w:eastAsia="仿宋_GB2312" w:cs="仿宋"/>
          <w:color w:val="000000"/>
          <w:kern w:val="0"/>
          <w:sz w:val="32"/>
          <w:szCs w:val="32"/>
          <w:lang w:val="en-US" w:eastAsia="zh-CN" w:bidi="ar-SA"/>
        </w:rPr>
        <w:t xml:space="preserve">    </w:t>
      </w:r>
      <w:r>
        <w:rPr>
          <w:rFonts w:hint="eastAsia" w:ascii="仿宋_GB2312" w:hAnsi="Times New Roman" w:eastAsia="仿宋_GB2312" w:cs="仿宋"/>
          <w:color w:val="000000"/>
          <w:kern w:val="0"/>
          <w:sz w:val="32"/>
          <w:szCs w:val="32"/>
          <w:lang w:val="en-US" w:eastAsia="zh-CN" w:bidi="ar-SA"/>
        </w:rPr>
        <w:t>14.土地出让业务支出212（类）08（款）06（项）：指反映土地出让收入用于土地出让业务费用的开支。</w:t>
      </w:r>
      <w:r>
        <w:rPr>
          <w:rFonts w:hint="eastAsia" w:ascii="仿宋_GB2312" w:hAnsi="Times New Roman" w:eastAsia="仿宋_GB2312" w:cs="仿宋"/>
          <w:color w:val="000000"/>
          <w:kern w:val="0"/>
          <w:sz w:val="32"/>
          <w:szCs w:val="32"/>
          <w:lang w:val="en-US" w:eastAsia="zh-CN" w:bidi="ar-SA"/>
        </w:rPr>
        <w:br w:type="textWrapping"/>
      </w:r>
      <w:r>
        <w:rPr>
          <w:rFonts w:hint="eastAsia" w:ascii="仿宋_GB2312" w:eastAsia="仿宋_GB2312" w:cs="仿宋"/>
          <w:color w:val="000000"/>
          <w:kern w:val="0"/>
          <w:sz w:val="32"/>
          <w:szCs w:val="32"/>
          <w:lang w:val="en-US" w:eastAsia="zh-CN" w:bidi="ar-SA"/>
        </w:rPr>
        <w:t xml:space="preserve">    </w:t>
      </w:r>
      <w:r>
        <w:rPr>
          <w:rFonts w:hint="eastAsia" w:ascii="仿宋_GB2312" w:hAnsi="Times New Roman" w:eastAsia="仿宋_GB2312" w:cs="仿宋"/>
          <w:color w:val="000000"/>
          <w:kern w:val="0"/>
          <w:sz w:val="32"/>
          <w:szCs w:val="32"/>
          <w:lang w:val="en-US" w:eastAsia="zh-CN" w:bidi="ar-SA"/>
        </w:rPr>
        <w:t>15.行政运行220（类）01（款）01（项）：指反映行政单位（包括实行公务员管理的事业单位）的基本支出。</w:t>
      </w:r>
      <w:r>
        <w:rPr>
          <w:rFonts w:hint="eastAsia" w:ascii="仿宋_GB2312" w:hAnsi="Times New Roman" w:eastAsia="仿宋_GB2312" w:cs="仿宋"/>
          <w:color w:val="000000"/>
          <w:kern w:val="0"/>
          <w:sz w:val="32"/>
          <w:szCs w:val="32"/>
          <w:lang w:val="en-US" w:eastAsia="zh-CN" w:bidi="ar-SA"/>
        </w:rPr>
        <w:br w:type="textWrapping"/>
      </w:r>
      <w:r>
        <w:rPr>
          <w:rFonts w:hint="eastAsia" w:ascii="仿宋_GB2312" w:eastAsia="仿宋_GB2312" w:cs="仿宋"/>
          <w:color w:val="000000"/>
          <w:kern w:val="0"/>
          <w:sz w:val="32"/>
          <w:szCs w:val="32"/>
          <w:lang w:val="en-US" w:eastAsia="zh-CN" w:bidi="ar-SA"/>
        </w:rPr>
        <w:t xml:space="preserve">    </w:t>
      </w:r>
      <w:r>
        <w:rPr>
          <w:rFonts w:hint="eastAsia" w:ascii="仿宋_GB2312" w:hAnsi="Times New Roman" w:eastAsia="仿宋_GB2312" w:cs="仿宋"/>
          <w:color w:val="000000"/>
          <w:kern w:val="0"/>
          <w:sz w:val="32"/>
          <w:szCs w:val="32"/>
          <w:lang w:val="en-US" w:eastAsia="zh-CN" w:bidi="ar-SA"/>
        </w:rPr>
        <w:t>16.一般行政管理事务220（类）01（款）02（项）：指反映行政单位（包括实行公务员管理的事业单位）未单独设置项级科目的其他项目支出。</w:t>
      </w:r>
      <w:r>
        <w:rPr>
          <w:rFonts w:hint="eastAsia" w:ascii="仿宋_GB2312" w:hAnsi="Times New Roman" w:eastAsia="仿宋_GB2312" w:cs="仿宋"/>
          <w:color w:val="000000"/>
          <w:kern w:val="0"/>
          <w:sz w:val="32"/>
          <w:szCs w:val="32"/>
          <w:lang w:val="en-US" w:eastAsia="zh-CN" w:bidi="ar-SA"/>
        </w:rPr>
        <w:br w:type="textWrapping"/>
      </w:r>
      <w:r>
        <w:rPr>
          <w:rFonts w:hint="eastAsia" w:ascii="仿宋_GB2312" w:eastAsia="仿宋_GB2312" w:cs="仿宋"/>
          <w:color w:val="000000"/>
          <w:kern w:val="0"/>
          <w:sz w:val="32"/>
          <w:szCs w:val="32"/>
          <w:lang w:val="en-US" w:eastAsia="zh-CN" w:bidi="ar-SA"/>
        </w:rPr>
        <w:t xml:space="preserve">    </w:t>
      </w:r>
      <w:r>
        <w:rPr>
          <w:rFonts w:hint="eastAsia" w:ascii="仿宋_GB2312" w:hAnsi="Times New Roman" w:eastAsia="仿宋_GB2312" w:cs="仿宋"/>
          <w:color w:val="000000"/>
          <w:kern w:val="0"/>
          <w:sz w:val="32"/>
          <w:szCs w:val="32"/>
          <w:lang w:val="en-US" w:eastAsia="zh-CN" w:bidi="ar-SA"/>
        </w:rPr>
        <w:t>17.自然资源行业业务管理220（类）01（款）08（项）：指反映自然资源行业业务管理经费支出，包括行业标准和规程、政策法规、审计监督、队伍建设等方面的支出。</w:t>
      </w:r>
    </w:p>
    <w:p w14:paraId="570AED4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18.事业运行220（类）01（款）50（项）：只反映事业单位的基本支出，不包括行政单位（包括实行公务员管理的事业单位）后勤服务中心、医务室等附属事业单位。</w:t>
      </w:r>
    </w:p>
    <w:p w14:paraId="1F1ADB1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19.其他自然资源事务支出220（类）01（款）99（项）：指反映除上述项目以外其他用于自然资源事务方面的支出。</w:t>
      </w:r>
    </w:p>
    <w:p w14:paraId="1735F9D9">
      <w:pPr>
        <w:ind w:firstLine="640" w:firstLineChars="200"/>
        <w:rPr>
          <w:rFonts w:ascii="仿宋_GB2312" w:eastAsia="仿宋_GB2312"/>
          <w:color w:val="auto"/>
          <w:sz w:val="32"/>
          <w:szCs w:val="32"/>
          <w:highlight w:val="none"/>
        </w:rPr>
      </w:pPr>
      <w:r>
        <w:rPr>
          <w:rFonts w:hint="eastAsia" w:ascii="仿宋_GB2312" w:hAnsi="Times New Roman" w:eastAsia="仿宋_GB2312" w:cs="仿宋"/>
          <w:color w:val="000000"/>
          <w:kern w:val="0"/>
          <w:sz w:val="32"/>
          <w:szCs w:val="32"/>
          <w:lang w:val="en-US" w:eastAsia="zh-CN" w:bidi="ar-SA"/>
        </w:rPr>
        <w:t>20.住房公积金221（类）02（款）01（项）：指反映行政事业单位按人力资源和社会保障部、财政部规定的基本工资和津贴补贴以及规定比例为职工缴纳的住房公积金。</w:t>
      </w:r>
    </w:p>
    <w:p w14:paraId="1A5A26EB">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2994F1C">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9F7090C">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FA5010">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EF24F6">
      <w:pPr>
        <w:spacing w:line="600" w:lineRule="exact"/>
        <w:jc w:val="center"/>
        <w:outlineLvl w:val="0"/>
        <w:rPr>
          <w:rFonts w:hint="eastAsia" w:ascii="黑体" w:hAnsi="黑体" w:eastAsia="黑体"/>
          <w:color w:val="auto"/>
          <w:sz w:val="44"/>
          <w:szCs w:val="44"/>
          <w:highlight w:val="none"/>
        </w:rPr>
      </w:pPr>
      <w:bookmarkStart w:id="55" w:name="_Toc15396614"/>
      <w:bookmarkStart w:id="56" w:name="_Toc15377226"/>
    </w:p>
    <w:p w14:paraId="1CE7490F">
      <w:pPr>
        <w:spacing w:line="600" w:lineRule="exact"/>
        <w:jc w:val="center"/>
        <w:outlineLvl w:val="0"/>
        <w:rPr>
          <w:rFonts w:hint="eastAsia" w:ascii="黑体" w:hAnsi="黑体" w:eastAsia="黑体"/>
          <w:color w:val="auto"/>
          <w:sz w:val="44"/>
          <w:szCs w:val="44"/>
          <w:highlight w:val="none"/>
        </w:rPr>
      </w:pPr>
    </w:p>
    <w:p w14:paraId="27D47FEA">
      <w:pPr>
        <w:spacing w:line="600" w:lineRule="exact"/>
        <w:jc w:val="center"/>
        <w:outlineLvl w:val="0"/>
        <w:rPr>
          <w:rFonts w:hint="eastAsia" w:ascii="黑体" w:hAnsi="黑体" w:eastAsia="黑体"/>
          <w:color w:val="auto"/>
          <w:sz w:val="44"/>
          <w:szCs w:val="44"/>
          <w:highlight w:val="none"/>
        </w:rPr>
      </w:pPr>
    </w:p>
    <w:p w14:paraId="332BCD0D">
      <w:pPr>
        <w:spacing w:line="600" w:lineRule="exact"/>
        <w:jc w:val="center"/>
        <w:outlineLvl w:val="0"/>
        <w:rPr>
          <w:rFonts w:hint="eastAsia" w:ascii="黑体" w:hAnsi="黑体" w:eastAsia="黑体"/>
          <w:color w:val="auto"/>
          <w:sz w:val="44"/>
          <w:szCs w:val="44"/>
          <w:highlight w:val="none"/>
        </w:rPr>
      </w:pPr>
    </w:p>
    <w:p w14:paraId="3B6C14DD">
      <w:pPr>
        <w:spacing w:line="600" w:lineRule="exact"/>
        <w:jc w:val="center"/>
        <w:outlineLvl w:val="0"/>
        <w:rPr>
          <w:rFonts w:hint="eastAsia" w:ascii="黑体" w:hAnsi="黑体" w:eastAsia="黑体"/>
          <w:color w:val="auto"/>
          <w:sz w:val="44"/>
          <w:szCs w:val="44"/>
          <w:highlight w:val="none"/>
        </w:rPr>
      </w:pPr>
    </w:p>
    <w:p w14:paraId="7B456217">
      <w:pPr>
        <w:spacing w:line="600" w:lineRule="exact"/>
        <w:jc w:val="center"/>
        <w:outlineLvl w:val="0"/>
        <w:rPr>
          <w:rFonts w:hint="eastAsia" w:ascii="黑体" w:hAnsi="黑体" w:eastAsia="黑体"/>
          <w:color w:val="auto"/>
          <w:sz w:val="44"/>
          <w:szCs w:val="44"/>
          <w:highlight w:val="none"/>
        </w:rPr>
      </w:pPr>
    </w:p>
    <w:p w14:paraId="4C63D05F">
      <w:pPr>
        <w:spacing w:line="600" w:lineRule="exact"/>
        <w:jc w:val="center"/>
        <w:outlineLvl w:val="0"/>
        <w:rPr>
          <w:rFonts w:hint="eastAsia" w:ascii="黑体" w:hAnsi="黑体" w:eastAsia="黑体"/>
          <w:color w:val="auto"/>
          <w:sz w:val="44"/>
          <w:szCs w:val="44"/>
          <w:highlight w:val="none"/>
        </w:rPr>
      </w:pPr>
    </w:p>
    <w:p w14:paraId="266FC51F">
      <w:pPr>
        <w:spacing w:line="600" w:lineRule="exact"/>
        <w:jc w:val="center"/>
        <w:outlineLvl w:val="0"/>
        <w:rPr>
          <w:rFonts w:hint="eastAsia" w:ascii="黑体" w:hAnsi="黑体" w:eastAsia="黑体"/>
          <w:color w:val="auto"/>
          <w:sz w:val="44"/>
          <w:szCs w:val="44"/>
          <w:highlight w:val="none"/>
        </w:rPr>
      </w:pPr>
    </w:p>
    <w:p w14:paraId="7DCC68DE">
      <w:pPr>
        <w:spacing w:line="600" w:lineRule="exact"/>
        <w:jc w:val="center"/>
        <w:outlineLvl w:val="0"/>
        <w:rPr>
          <w:rFonts w:hint="eastAsia" w:ascii="黑体" w:hAnsi="黑体" w:eastAsia="黑体"/>
          <w:color w:val="auto"/>
          <w:sz w:val="44"/>
          <w:szCs w:val="44"/>
          <w:highlight w:val="none"/>
        </w:rPr>
      </w:pPr>
    </w:p>
    <w:p w14:paraId="4F44FB67">
      <w:pPr>
        <w:spacing w:line="600" w:lineRule="exact"/>
        <w:jc w:val="center"/>
        <w:outlineLvl w:val="0"/>
        <w:rPr>
          <w:rFonts w:hint="eastAsia" w:ascii="黑体" w:hAnsi="黑体" w:eastAsia="黑体"/>
          <w:color w:val="auto"/>
          <w:sz w:val="44"/>
          <w:szCs w:val="44"/>
          <w:highlight w:val="none"/>
        </w:rPr>
      </w:pPr>
    </w:p>
    <w:p w14:paraId="62672CA8">
      <w:pPr>
        <w:spacing w:line="600" w:lineRule="exact"/>
        <w:jc w:val="center"/>
        <w:outlineLvl w:val="0"/>
        <w:rPr>
          <w:rFonts w:hint="eastAsia" w:ascii="黑体" w:hAnsi="黑体" w:eastAsia="黑体"/>
          <w:color w:val="auto"/>
          <w:sz w:val="44"/>
          <w:szCs w:val="44"/>
          <w:highlight w:val="none"/>
        </w:rPr>
      </w:pPr>
    </w:p>
    <w:p w14:paraId="3B78F5C5">
      <w:pPr>
        <w:spacing w:line="600" w:lineRule="exact"/>
        <w:jc w:val="center"/>
        <w:outlineLvl w:val="0"/>
        <w:rPr>
          <w:rFonts w:hint="eastAsia" w:ascii="黑体" w:hAnsi="黑体" w:eastAsia="黑体"/>
          <w:color w:val="auto"/>
          <w:sz w:val="44"/>
          <w:szCs w:val="44"/>
          <w:highlight w:val="none"/>
        </w:rPr>
      </w:pPr>
    </w:p>
    <w:p w14:paraId="3E3E7970">
      <w:pPr>
        <w:spacing w:line="600" w:lineRule="exact"/>
        <w:jc w:val="center"/>
        <w:outlineLvl w:val="0"/>
        <w:rPr>
          <w:rFonts w:hint="eastAsia" w:hAnsi="宋体" w:cs="宋体"/>
          <w:color w:val="auto"/>
          <w:kern w:val="0"/>
          <w:sz w:val="32"/>
          <w:szCs w:val="32"/>
          <w:highlight w:val="none"/>
          <w:shd w:val="clear" w:color="auto" w:fill="FFFFFF"/>
          <w:lang w:val="zh-CN"/>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5"/>
    </w:p>
    <w:tbl>
      <w:tblPr>
        <w:tblStyle w:val="13"/>
        <w:tblpPr w:leftFromText="180" w:rightFromText="180" w:vertAnchor="text" w:horzAnchor="page" w:tblpXSpec="center" w:tblpY="423"/>
        <w:tblOverlap w:val="never"/>
        <w:tblW w:w="9900" w:type="dxa"/>
        <w:jc w:val="center"/>
        <w:tblLayout w:type="fixed"/>
        <w:tblCellMar>
          <w:top w:w="0" w:type="dxa"/>
          <w:left w:w="0" w:type="dxa"/>
          <w:bottom w:w="0" w:type="dxa"/>
          <w:right w:w="0" w:type="dxa"/>
        </w:tblCellMar>
      </w:tblPr>
      <w:tblGrid>
        <w:gridCol w:w="901"/>
        <w:gridCol w:w="844"/>
        <w:gridCol w:w="1019"/>
        <w:gridCol w:w="2377"/>
        <w:gridCol w:w="2379"/>
        <w:gridCol w:w="2380"/>
      </w:tblGrid>
      <w:tr w14:paraId="6229FE14">
        <w:tblPrEx>
          <w:tblCellMar>
            <w:top w:w="0" w:type="dxa"/>
            <w:left w:w="0" w:type="dxa"/>
            <w:bottom w:w="0" w:type="dxa"/>
            <w:right w:w="0" w:type="dxa"/>
          </w:tblCellMar>
        </w:tblPrEx>
        <w:trPr>
          <w:trHeight w:val="90" w:hRule="atLeast"/>
          <w:jc w:val="center"/>
        </w:trPr>
        <w:tc>
          <w:tcPr>
            <w:tcW w:w="9900" w:type="dxa"/>
            <w:gridSpan w:val="6"/>
            <w:tcBorders>
              <w:top w:val="nil"/>
              <w:left w:val="nil"/>
              <w:bottom w:val="nil"/>
              <w:right w:val="nil"/>
            </w:tcBorders>
            <w:noWrap w:val="0"/>
            <w:tcMar>
              <w:top w:w="15" w:type="dxa"/>
              <w:left w:w="15" w:type="dxa"/>
              <w:right w:w="15" w:type="dxa"/>
            </w:tcMar>
            <w:vAlign w:val="center"/>
          </w:tcPr>
          <w:p w14:paraId="00C745E2">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w:t>
            </w:r>
            <w:r>
              <w:rPr>
                <w:rFonts w:hint="eastAsia" w:ascii="宋体" w:hAnsi="宋体" w:cs="宋体"/>
                <w:color w:val="000000"/>
                <w:kern w:val="0"/>
                <w:sz w:val="36"/>
                <w:szCs w:val="36"/>
                <w:lang w:val="en-US" w:eastAsia="zh-CN" w:bidi="ar"/>
              </w:rPr>
              <w:t>1</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14:paraId="3FE91904">
        <w:tblPrEx>
          <w:tblCellMar>
            <w:top w:w="0" w:type="dxa"/>
            <w:left w:w="0" w:type="dxa"/>
            <w:bottom w:w="0" w:type="dxa"/>
            <w:right w:w="0" w:type="dxa"/>
          </w:tblCellMar>
        </w:tblPrEx>
        <w:trPr>
          <w:trHeight w:val="90" w:hRule="atLeast"/>
          <w:jc w:val="center"/>
        </w:trPr>
        <w:tc>
          <w:tcPr>
            <w:tcW w:w="27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AA2BC">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24A38">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土地出让业务经费</w:t>
            </w:r>
          </w:p>
        </w:tc>
      </w:tr>
      <w:tr w14:paraId="5BD947B8">
        <w:tblPrEx>
          <w:tblCellMar>
            <w:top w:w="0" w:type="dxa"/>
            <w:left w:w="0" w:type="dxa"/>
            <w:bottom w:w="0" w:type="dxa"/>
            <w:right w:w="0" w:type="dxa"/>
          </w:tblCellMar>
        </w:tblPrEx>
        <w:trPr>
          <w:trHeight w:val="90" w:hRule="atLeast"/>
          <w:jc w:val="center"/>
        </w:trPr>
        <w:tc>
          <w:tcPr>
            <w:tcW w:w="27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14D0C">
            <w:pPr>
              <w:widowControl/>
              <w:jc w:val="center"/>
              <w:textAlignment w:val="center"/>
              <w:rPr>
                <w:rFonts w:ascii="宋体" w:cs="宋体"/>
                <w:color w:val="000000"/>
                <w:sz w:val="24"/>
              </w:rPr>
            </w:pPr>
            <w:r>
              <w:rPr>
                <w:rFonts w:hint="eastAsia" w:ascii="宋体" w:hAnsi="宋体" w:cs="宋体"/>
                <w:color w:val="000000"/>
                <w:kern w:val="0"/>
                <w:sz w:val="24"/>
                <w:lang w:bidi="ar"/>
              </w:rPr>
              <w:t>单位</w:t>
            </w:r>
          </w:p>
        </w:tc>
        <w:tc>
          <w:tcPr>
            <w:tcW w:w="71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0DCE5">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遂宁经济技术开发区自然资源和规划中心</w:t>
            </w:r>
          </w:p>
        </w:tc>
      </w:tr>
      <w:tr w14:paraId="71696C2A">
        <w:tblPrEx>
          <w:tblCellMar>
            <w:top w:w="0" w:type="dxa"/>
            <w:left w:w="0" w:type="dxa"/>
            <w:bottom w:w="0" w:type="dxa"/>
            <w:right w:w="0" w:type="dxa"/>
          </w:tblCellMar>
        </w:tblPrEx>
        <w:trPr>
          <w:trHeight w:val="90" w:hRule="atLeast"/>
          <w:jc w:val="center"/>
        </w:trPr>
        <w:tc>
          <w:tcPr>
            <w:tcW w:w="9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20206">
            <w:pPr>
              <w:widowControl/>
              <w:jc w:val="center"/>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项目</w:t>
            </w:r>
          </w:p>
          <w:p w14:paraId="5A9709AD">
            <w:pPr>
              <w:widowControl/>
              <w:jc w:val="center"/>
              <w:textAlignment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资金</w:t>
            </w:r>
          </w:p>
          <w:p w14:paraId="3E27A425">
            <w:pPr>
              <w:widowControl/>
              <w:jc w:val="center"/>
              <w:textAlignment w:val="center"/>
              <w:rPr>
                <w:rFonts w:ascii="宋体" w:cs="宋体"/>
                <w:color w:val="000000"/>
                <w:sz w:val="24"/>
              </w:rPr>
            </w:pP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899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1EE01">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eastAsia="zh-CN" w:bidi="ar"/>
              </w:rPr>
              <w:t>年度总金额</w:t>
            </w:r>
            <w:r>
              <w:rPr>
                <w:rFonts w:ascii="宋体" w:hAnsi="宋体" w:cs="宋体"/>
                <w:color w:val="000000"/>
                <w:kern w:val="0"/>
                <w:sz w:val="24"/>
                <w:lang w:bidi="ar"/>
              </w:rPr>
              <w:t>:</w:t>
            </w:r>
            <w:r>
              <w:rPr>
                <w:rFonts w:hint="eastAsia" w:ascii="宋体" w:hAnsi="宋体" w:cs="宋体"/>
                <w:color w:val="000000"/>
                <w:kern w:val="0"/>
                <w:sz w:val="24"/>
                <w:lang w:val="en-US" w:eastAsia="zh-CN" w:bidi="ar"/>
              </w:rPr>
              <w:t>13.16万元</w:t>
            </w:r>
          </w:p>
        </w:tc>
      </w:tr>
      <w:tr w14:paraId="0D4EBE2F">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AEB0F">
            <w:pPr>
              <w:jc w:val="center"/>
              <w:rPr>
                <w:rFonts w:ascii="宋体" w:cs="宋体"/>
                <w:color w:val="000000"/>
                <w:sz w:val="24"/>
              </w:rPr>
            </w:pPr>
          </w:p>
        </w:tc>
        <w:tc>
          <w:tcPr>
            <w:tcW w:w="899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11EA0">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bidi="ar"/>
              </w:rPr>
              <w:t>财政拨款</w:t>
            </w:r>
            <w:r>
              <w:rPr>
                <w:rFonts w:ascii="宋体" w:hAnsi="宋体" w:cs="宋体"/>
                <w:color w:val="000000"/>
                <w:kern w:val="0"/>
                <w:sz w:val="24"/>
                <w:lang w:bidi="ar"/>
              </w:rPr>
              <w:t>:</w:t>
            </w:r>
            <w:r>
              <w:rPr>
                <w:rFonts w:hint="eastAsia" w:ascii="宋体" w:hAnsi="宋体" w:cs="宋体"/>
                <w:color w:val="000000"/>
                <w:kern w:val="0"/>
                <w:sz w:val="24"/>
                <w:lang w:val="en-US" w:eastAsia="zh-CN" w:bidi="ar"/>
              </w:rPr>
              <w:t>13.16万元</w:t>
            </w:r>
          </w:p>
        </w:tc>
      </w:tr>
      <w:tr w14:paraId="413C98E2">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CE73F">
            <w:pPr>
              <w:jc w:val="center"/>
              <w:rPr>
                <w:rFonts w:ascii="宋体" w:cs="宋体"/>
                <w:color w:val="000000"/>
                <w:sz w:val="24"/>
              </w:rPr>
            </w:pPr>
          </w:p>
        </w:tc>
        <w:tc>
          <w:tcPr>
            <w:tcW w:w="899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1E845">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r>
      <w:tr w14:paraId="28881753">
        <w:tblPrEx>
          <w:tblCellMar>
            <w:top w:w="0" w:type="dxa"/>
            <w:left w:w="0" w:type="dxa"/>
            <w:bottom w:w="0" w:type="dxa"/>
            <w:right w:w="0" w:type="dxa"/>
          </w:tblCellMar>
        </w:tblPrEx>
        <w:trPr>
          <w:trHeight w:val="90" w:hRule="atLeast"/>
          <w:jc w:val="center"/>
        </w:trPr>
        <w:tc>
          <w:tcPr>
            <w:tcW w:w="9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79DBA">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6EC74">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B1B84">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14:paraId="6385054E">
        <w:tblPrEx>
          <w:tblCellMar>
            <w:top w:w="0" w:type="dxa"/>
            <w:left w:w="0" w:type="dxa"/>
            <w:bottom w:w="0" w:type="dxa"/>
            <w:right w:w="0" w:type="dxa"/>
          </w:tblCellMar>
        </w:tblPrEx>
        <w:trPr>
          <w:trHeight w:val="131"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5D878">
            <w:pPr>
              <w:jc w:val="center"/>
              <w:rPr>
                <w:rFonts w:ascii="宋体" w:cs="宋体"/>
                <w:color w:val="000000"/>
                <w:sz w:val="24"/>
              </w:rPr>
            </w:pPr>
          </w:p>
        </w:tc>
        <w:tc>
          <w:tcPr>
            <w:tcW w:w="4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2C715">
            <w:pPr>
              <w:widowControl/>
              <w:jc w:val="center"/>
              <w:textAlignment w:val="center"/>
              <w:rPr>
                <w:rFonts w:hint="eastAsia" w:ascii="宋体" w:cs="宋体"/>
                <w:color w:val="000000"/>
                <w:sz w:val="24"/>
              </w:rPr>
            </w:pPr>
            <w:r>
              <w:rPr>
                <w:rFonts w:hint="eastAsia" w:ascii="宋体" w:cs="宋体"/>
                <w:color w:val="000000"/>
                <w:sz w:val="24"/>
              </w:rPr>
              <w:t>提高经开区地块知晓度，确保土地交易的实现以及土地最大经济价值的发挥。</w:t>
            </w:r>
          </w:p>
          <w:p w14:paraId="4482921B">
            <w:pPr>
              <w:widowControl/>
              <w:jc w:val="center"/>
              <w:textAlignment w:val="center"/>
              <w:rPr>
                <w:rFonts w:ascii="宋体" w:cs="宋体"/>
                <w:color w:val="000000"/>
                <w:sz w:val="24"/>
              </w:rPr>
            </w:pPr>
            <w:r>
              <w:rPr>
                <w:rFonts w:hint="eastAsia" w:ascii="宋体" w:cs="宋体"/>
                <w:color w:val="000000"/>
                <w:sz w:val="24"/>
              </w:rPr>
              <w:t>对国土资源部下发年度土地矿产卫片执法检查地块数据和疑似新增建设用地图斑进行室内判读，搜集整理相关资料，在线填报成果数据并按卷宗逐个归档等内业处理工作。</w:t>
            </w:r>
          </w:p>
        </w:tc>
        <w:tc>
          <w:tcPr>
            <w:tcW w:w="47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751BB">
            <w:pPr>
              <w:widowControl/>
              <w:jc w:val="center"/>
              <w:textAlignment w:val="center"/>
              <w:rPr>
                <w:rFonts w:hint="eastAsia" w:ascii="宋体" w:cs="宋体"/>
                <w:color w:val="000000"/>
                <w:sz w:val="24"/>
                <w:lang w:eastAsia="zh-CN"/>
              </w:rPr>
            </w:pPr>
            <w:r>
              <w:rPr>
                <w:rFonts w:hint="eastAsia" w:ascii="宋体" w:cs="宋体"/>
                <w:color w:val="000000"/>
                <w:sz w:val="24"/>
                <w:lang w:eastAsia="zh-CN"/>
              </w:rPr>
              <w:t>提高了经开区地块知晓度，确保了土地交易的实现以及土地最大经济价值的发挥。</w:t>
            </w:r>
          </w:p>
          <w:p w14:paraId="1491F241">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对国土资源部下发年度土地矿产卫片执法检查地块数据和疑似新增建设用地图斑进行室内判读，搜集整理相关资料，在线填报成果数据并按卷宗逐个归档等内业处理工作。</w:t>
            </w:r>
          </w:p>
        </w:tc>
      </w:tr>
      <w:tr w14:paraId="0D809D7D">
        <w:tblPrEx>
          <w:tblCellMar>
            <w:top w:w="0" w:type="dxa"/>
            <w:left w:w="0" w:type="dxa"/>
            <w:bottom w:w="0" w:type="dxa"/>
            <w:right w:w="0" w:type="dxa"/>
          </w:tblCellMar>
        </w:tblPrEx>
        <w:trPr>
          <w:trHeight w:val="90" w:hRule="atLeast"/>
          <w:jc w:val="center"/>
        </w:trPr>
        <w:tc>
          <w:tcPr>
            <w:tcW w:w="9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720FD">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86F3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一级指标</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3131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二级指标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1CF4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三级指标</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C5BB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预期指标值(包含数字及文字描述)</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D33E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实际完成指标值(包含数字及文字描述)</w:t>
            </w:r>
          </w:p>
        </w:tc>
      </w:tr>
      <w:tr w14:paraId="427BDD1B">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9FEFC">
            <w:pPr>
              <w:widowControl/>
              <w:jc w:val="center"/>
              <w:textAlignment w:val="center"/>
              <w:rPr>
                <w:rFonts w:ascii="宋体" w:cs="宋体"/>
                <w:color w:val="000000"/>
                <w:sz w:val="24"/>
              </w:rPr>
            </w:pPr>
          </w:p>
        </w:tc>
        <w:tc>
          <w:tcPr>
            <w:tcW w:w="8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1B04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项目完成指标</w:t>
            </w:r>
          </w:p>
          <w:p w14:paraId="5B6266F9">
            <w:pPr>
              <w:widowControl/>
              <w:jc w:val="center"/>
              <w:textAlignment w:val="center"/>
              <w:rPr>
                <w:rFonts w:hint="eastAsia" w:ascii="宋体" w:hAnsi="宋体" w:eastAsia="宋体" w:cs="宋体"/>
                <w:color w:val="000000"/>
                <w:kern w:val="0"/>
                <w:sz w:val="24"/>
                <w:lang w:bidi="ar"/>
              </w:rPr>
            </w:pPr>
          </w:p>
        </w:tc>
        <w:tc>
          <w:tcPr>
            <w:tcW w:w="10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381C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数量指标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20766">
            <w:pPr>
              <w:widowControl/>
              <w:jc w:val="center"/>
              <w:textAlignment w:val="center"/>
              <w:rPr>
                <w:rFonts w:hint="eastAsia" w:ascii="宋体" w:hAnsi="宋体" w:eastAsia="宋体" w:cs="宋体"/>
                <w:color w:val="000000"/>
                <w:kern w:val="0"/>
                <w:sz w:val="24"/>
                <w:lang w:bidi="ar"/>
              </w:rPr>
            </w:pPr>
          </w:p>
          <w:p w14:paraId="5B31E992">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报刊新闻宣传</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7982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≥9天</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0F06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≥9天</w:t>
            </w:r>
          </w:p>
        </w:tc>
      </w:tr>
      <w:tr w14:paraId="5E0422E9">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6339A">
            <w:pPr>
              <w:widowControl/>
              <w:jc w:val="center"/>
              <w:textAlignment w:val="center"/>
            </w:pPr>
          </w:p>
        </w:tc>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D4C9A">
            <w:pPr>
              <w:widowControl/>
              <w:jc w:val="center"/>
              <w:textAlignment w:val="center"/>
              <w:rPr>
                <w:rFonts w:hint="eastAsia" w:ascii="宋体" w:hAnsi="宋体" w:eastAsia="宋体" w:cs="宋体"/>
                <w:color w:val="000000"/>
                <w:kern w:val="0"/>
                <w:sz w:val="24"/>
                <w:lang w:bidi="ar"/>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CE626">
            <w:pPr>
              <w:widowControl/>
              <w:jc w:val="center"/>
              <w:textAlignment w:val="center"/>
              <w:rPr>
                <w:rFonts w:hint="eastAsia" w:ascii="宋体" w:hAnsi="宋体" w:eastAsia="宋体" w:cs="宋体"/>
                <w:color w:val="000000"/>
                <w:kern w:val="0"/>
                <w:sz w:val="24"/>
                <w:lang w:bidi="ar"/>
              </w:rPr>
            </w:pP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D90A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新闻媒体APP和网站宣传</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7472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≥4周</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1BDB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≥4周</w:t>
            </w:r>
          </w:p>
        </w:tc>
      </w:tr>
      <w:tr w14:paraId="7FC03C39">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B47D9">
            <w:pPr>
              <w:widowControl/>
              <w:jc w:val="center"/>
              <w:textAlignment w:val="center"/>
              <w:rPr>
                <w:rFonts w:hint="eastAsia" w:ascii="宋体" w:hAnsi="宋体" w:cs="宋体"/>
                <w:color w:val="000000"/>
                <w:kern w:val="0"/>
                <w:sz w:val="24"/>
                <w:lang w:bidi="ar"/>
              </w:rPr>
            </w:pPr>
          </w:p>
        </w:tc>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13FA7">
            <w:pPr>
              <w:widowControl/>
              <w:jc w:val="center"/>
              <w:textAlignment w:val="center"/>
              <w:rPr>
                <w:rFonts w:hint="eastAsia" w:ascii="宋体" w:hAnsi="宋体" w:eastAsia="宋体" w:cs="宋体"/>
                <w:color w:val="000000"/>
                <w:kern w:val="0"/>
                <w:sz w:val="24"/>
                <w:lang w:bidi="ar"/>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D6029">
            <w:pPr>
              <w:widowControl/>
              <w:jc w:val="center"/>
              <w:textAlignment w:val="center"/>
              <w:rPr>
                <w:rFonts w:hint="eastAsia" w:ascii="宋体" w:hAnsi="宋体" w:eastAsia="宋体" w:cs="宋体"/>
                <w:color w:val="000000"/>
                <w:kern w:val="0"/>
                <w:sz w:val="24"/>
                <w:lang w:bidi="ar"/>
              </w:rPr>
            </w:pP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215C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外业核实图斑                   内业搜集整理</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6940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100个图斑</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821C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100个图斑</w:t>
            </w:r>
          </w:p>
        </w:tc>
      </w:tr>
      <w:tr w14:paraId="49421EC6">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84486">
            <w:pPr>
              <w:widowControl/>
              <w:jc w:val="center"/>
              <w:textAlignment w:val="center"/>
              <w:rPr>
                <w:rFonts w:ascii="宋体" w:cs="宋体"/>
                <w:color w:val="000000"/>
                <w:sz w:val="24"/>
              </w:rPr>
            </w:pPr>
          </w:p>
        </w:tc>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7B652">
            <w:pPr>
              <w:widowControl/>
              <w:jc w:val="center"/>
              <w:textAlignment w:val="center"/>
              <w:rPr>
                <w:rFonts w:hint="eastAsia" w:ascii="宋体" w:hAnsi="宋体" w:eastAsia="宋体" w:cs="宋体"/>
                <w:color w:val="000000"/>
                <w:kern w:val="0"/>
                <w:sz w:val="24"/>
                <w:lang w:bidi="ar"/>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AB41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质量指标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C686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防灾应急演练完成率</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74C1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100%</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4DF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100%</w:t>
            </w:r>
          </w:p>
        </w:tc>
      </w:tr>
      <w:tr w14:paraId="1FCC7044">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15059">
            <w:pPr>
              <w:widowControl/>
              <w:jc w:val="center"/>
              <w:textAlignment w:val="center"/>
              <w:rPr>
                <w:rFonts w:ascii="宋体" w:cs="宋体"/>
                <w:color w:val="000000"/>
                <w:sz w:val="24"/>
              </w:rPr>
            </w:pPr>
          </w:p>
        </w:tc>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32A4C">
            <w:pPr>
              <w:widowControl/>
              <w:jc w:val="center"/>
              <w:textAlignment w:val="center"/>
              <w:rPr>
                <w:rFonts w:hint="eastAsia" w:ascii="宋体" w:hAnsi="宋体" w:eastAsia="宋体" w:cs="宋体"/>
                <w:color w:val="000000"/>
                <w:kern w:val="0"/>
                <w:sz w:val="24"/>
                <w:lang w:bidi="ar"/>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D397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时效指标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4A6C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完成时效</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B93E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202</w:t>
            </w:r>
            <w:r>
              <w:rPr>
                <w:rFonts w:hint="eastAsia" w:ascii="宋体" w:hAnsi="宋体" w:cs="宋体"/>
                <w:color w:val="000000"/>
                <w:kern w:val="0"/>
                <w:sz w:val="24"/>
                <w:lang w:val="en-US" w:eastAsia="zh-CN" w:bidi="ar"/>
              </w:rPr>
              <w:t>1</w:t>
            </w:r>
            <w:r>
              <w:rPr>
                <w:rFonts w:hint="eastAsia" w:ascii="宋体" w:hAnsi="宋体" w:eastAsia="宋体" w:cs="宋体"/>
                <w:color w:val="000000"/>
                <w:kern w:val="0"/>
                <w:sz w:val="24"/>
                <w:lang w:bidi="ar"/>
              </w:rPr>
              <w:t>年11月前</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83D4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202</w:t>
            </w:r>
            <w:r>
              <w:rPr>
                <w:rFonts w:hint="eastAsia" w:ascii="宋体" w:hAnsi="宋体" w:cs="宋体"/>
                <w:color w:val="000000"/>
                <w:kern w:val="0"/>
                <w:sz w:val="24"/>
                <w:lang w:val="en-US" w:eastAsia="zh-CN" w:bidi="ar"/>
              </w:rPr>
              <w:t>1</w:t>
            </w:r>
            <w:r>
              <w:rPr>
                <w:rFonts w:hint="eastAsia" w:ascii="宋体" w:hAnsi="宋体" w:eastAsia="宋体" w:cs="宋体"/>
                <w:color w:val="000000"/>
                <w:kern w:val="0"/>
                <w:sz w:val="24"/>
                <w:lang w:bidi="ar"/>
              </w:rPr>
              <w:t>年11月前</w:t>
            </w:r>
          </w:p>
        </w:tc>
      </w:tr>
      <w:tr w14:paraId="6DDA791F">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CCDC7">
            <w:pPr>
              <w:widowControl/>
              <w:jc w:val="center"/>
              <w:textAlignment w:val="center"/>
            </w:pPr>
          </w:p>
        </w:tc>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410B9">
            <w:pPr>
              <w:widowControl/>
              <w:jc w:val="center"/>
              <w:textAlignment w:val="center"/>
              <w:rPr>
                <w:rFonts w:hint="eastAsia" w:ascii="宋体" w:hAnsi="宋体" w:eastAsia="宋体" w:cs="宋体"/>
                <w:color w:val="000000"/>
                <w:kern w:val="0"/>
                <w:sz w:val="24"/>
                <w:lang w:bidi="ar"/>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AC98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时效指标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4FA6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完成时效</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A87E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202</w:t>
            </w:r>
            <w:r>
              <w:rPr>
                <w:rFonts w:hint="eastAsia" w:ascii="宋体" w:hAnsi="宋体" w:cs="宋体"/>
                <w:color w:val="000000"/>
                <w:kern w:val="0"/>
                <w:sz w:val="24"/>
                <w:lang w:val="en-US" w:eastAsia="zh-CN" w:bidi="ar"/>
              </w:rPr>
              <w:t>1</w:t>
            </w:r>
            <w:r>
              <w:rPr>
                <w:rFonts w:hint="eastAsia" w:ascii="宋体" w:hAnsi="宋体" w:eastAsia="宋体" w:cs="宋体"/>
                <w:color w:val="000000"/>
                <w:kern w:val="0"/>
                <w:sz w:val="24"/>
                <w:lang w:bidi="ar"/>
              </w:rPr>
              <w:t>年12月前</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7701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202</w:t>
            </w:r>
            <w:r>
              <w:rPr>
                <w:rFonts w:hint="eastAsia" w:ascii="宋体" w:hAnsi="宋体" w:cs="宋体"/>
                <w:color w:val="000000"/>
                <w:kern w:val="0"/>
                <w:sz w:val="24"/>
                <w:lang w:val="en-US" w:eastAsia="zh-CN" w:bidi="ar"/>
              </w:rPr>
              <w:t>1</w:t>
            </w:r>
            <w:r>
              <w:rPr>
                <w:rFonts w:hint="eastAsia" w:ascii="宋体" w:hAnsi="宋体" w:eastAsia="宋体" w:cs="宋体"/>
                <w:color w:val="000000"/>
                <w:kern w:val="0"/>
                <w:sz w:val="24"/>
                <w:lang w:bidi="ar"/>
              </w:rPr>
              <w:t>年12月前</w:t>
            </w:r>
          </w:p>
        </w:tc>
      </w:tr>
      <w:tr w14:paraId="0491C3A6">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92624">
            <w:pPr>
              <w:widowControl/>
              <w:jc w:val="center"/>
              <w:textAlignment w:val="center"/>
              <w:rPr>
                <w:rFonts w:ascii="宋体" w:cs="宋体"/>
                <w:color w:val="000000"/>
                <w:sz w:val="24"/>
              </w:rPr>
            </w:pPr>
          </w:p>
        </w:tc>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463DF">
            <w:pPr>
              <w:widowControl/>
              <w:jc w:val="center"/>
              <w:textAlignment w:val="center"/>
              <w:rPr>
                <w:rFonts w:hint="eastAsia" w:ascii="宋体" w:hAnsi="宋体" w:eastAsia="宋体" w:cs="宋体"/>
                <w:color w:val="000000"/>
                <w:kern w:val="0"/>
                <w:sz w:val="24"/>
                <w:lang w:bidi="ar"/>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663B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成本指标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C4B4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外业核实图斑</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DB42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1500元/图斑</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0458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1500元/图斑</w:t>
            </w:r>
          </w:p>
        </w:tc>
      </w:tr>
      <w:tr w14:paraId="594FBF44">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C8E18">
            <w:pPr>
              <w:widowControl/>
              <w:jc w:val="center"/>
              <w:textAlignment w:val="center"/>
            </w:pPr>
          </w:p>
        </w:tc>
        <w:tc>
          <w:tcPr>
            <w:tcW w:w="8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0D5CF">
            <w:pPr>
              <w:widowControl/>
              <w:jc w:val="center"/>
              <w:textAlignment w:val="center"/>
              <w:rPr>
                <w:rFonts w:hint="eastAsia" w:ascii="宋体" w:hAnsi="宋体" w:eastAsia="宋体" w:cs="宋体"/>
                <w:color w:val="000000"/>
                <w:kern w:val="0"/>
                <w:sz w:val="24"/>
                <w:lang w:bidi="ar"/>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5018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社会效益指标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DF9B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为卫片执法提供理论依据,减少违法用地</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5C3A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100%</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9D3E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100</w:t>
            </w:r>
            <w:r>
              <w:rPr>
                <w:rFonts w:hint="eastAsia" w:ascii="宋体" w:hAnsi="宋体" w:eastAsia="宋体" w:cs="宋体"/>
                <w:color w:val="000000"/>
                <w:kern w:val="0"/>
                <w:sz w:val="24"/>
                <w:lang w:bidi="ar"/>
              </w:rPr>
              <w:t>%</w:t>
            </w:r>
          </w:p>
        </w:tc>
      </w:tr>
      <w:tr w14:paraId="7FB4AEEA">
        <w:tblPrEx>
          <w:tblCellMar>
            <w:top w:w="0" w:type="dxa"/>
            <w:left w:w="0" w:type="dxa"/>
            <w:bottom w:w="0" w:type="dxa"/>
            <w:right w:w="0" w:type="dxa"/>
          </w:tblCellMar>
        </w:tblPrEx>
        <w:trPr>
          <w:trHeight w:val="90"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FD08A">
            <w:pPr>
              <w:widowControl/>
              <w:jc w:val="center"/>
              <w:textAlignment w:val="center"/>
              <w:rPr>
                <w:rFonts w:asci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237C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效益指标</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A79A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可持续影响指标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7DCB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卫片执法具有长期性</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A3C7E">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100%</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25CD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100%</w:t>
            </w:r>
          </w:p>
        </w:tc>
      </w:tr>
      <w:tr w14:paraId="0B842AB0">
        <w:tblPrEx>
          <w:tblCellMar>
            <w:top w:w="0" w:type="dxa"/>
            <w:left w:w="0" w:type="dxa"/>
            <w:bottom w:w="0" w:type="dxa"/>
            <w:right w:w="0" w:type="dxa"/>
          </w:tblCellMar>
        </w:tblPrEx>
        <w:trPr>
          <w:trHeight w:val="1075" w:hRule="atLeast"/>
          <w:jc w:val="center"/>
        </w:trPr>
        <w:tc>
          <w:tcPr>
            <w:tcW w:w="9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76F86">
            <w:pPr>
              <w:widowControl/>
              <w:jc w:val="center"/>
              <w:textAlignment w:val="center"/>
              <w:rPr>
                <w:rFonts w:asci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D2D5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效益指标</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172C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eastAsia="zh-CN" w:bidi="ar"/>
              </w:rPr>
              <w:t>满意度指标</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8D5C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干部群众满意度</w:t>
            </w:r>
          </w:p>
        </w:tc>
        <w:tc>
          <w:tcPr>
            <w:tcW w:w="2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00D2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98%</w:t>
            </w:r>
          </w:p>
        </w:tc>
        <w:tc>
          <w:tcPr>
            <w:tcW w:w="2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7955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98%</w:t>
            </w:r>
          </w:p>
        </w:tc>
      </w:tr>
    </w:tbl>
    <w:p w14:paraId="6F76689D">
      <w:pPr>
        <w:pStyle w:val="2"/>
        <w:rPr>
          <w:rFonts w:hint="eastAsia" w:hAnsi="宋体" w:cs="宋体"/>
          <w:color w:val="auto"/>
          <w:kern w:val="0"/>
          <w:sz w:val="32"/>
          <w:szCs w:val="32"/>
          <w:highlight w:val="none"/>
          <w:shd w:val="clear" w:color="auto" w:fill="FFFFFF"/>
          <w:lang w:val="zh-CN"/>
        </w:rPr>
      </w:pPr>
    </w:p>
    <w:p w14:paraId="616C565B">
      <w:pPr>
        <w:spacing w:line="600" w:lineRule="exact"/>
        <w:jc w:val="center"/>
        <w:outlineLvl w:val="0"/>
        <w:rPr>
          <w:rFonts w:hint="eastAsia" w:ascii="仿宋" w:hAnsi="仿宋" w:eastAsia="仿宋"/>
          <w:b w:val="0"/>
          <w:color w:val="auto"/>
          <w:highlight w:val="none"/>
        </w:rPr>
      </w:pPr>
      <w:bookmarkStart w:id="57" w:name="_Toc15396618"/>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6"/>
      <w:bookmarkEnd w:id="57"/>
      <w:bookmarkStart w:id="58" w:name="_Toc15396619"/>
    </w:p>
    <w:p w14:paraId="56459138">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8"/>
    </w:p>
    <w:p w14:paraId="5BA5E3C3">
      <w:pPr>
        <w:pStyle w:val="4"/>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9"/>
    </w:p>
    <w:p w14:paraId="01154CB1">
      <w:pPr>
        <w:pStyle w:val="4"/>
        <w:rPr>
          <w:rFonts w:ascii="仿宋" w:hAnsi="仿宋" w:eastAsia="仿宋"/>
          <w:color w:val="auto"/>
          <w:highlight w:val="none"/>
        </w:rPr>
      </w:pPr>
      <w:bookmarkStart w:id="60"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0"/>
    </w:p>
    <w:p w14:paraId="5AE3F126">
      <w:pPr>
        <w:pStyle w:val="4"/>
        <w:rPr>
          <w:rFonts w:ascii="仿宋" w:hAnsi="仿宋" w:eastAsia="仿宋"/>
          <w:b w:val="0"/>
          <w:color w:val="auto"/>
          <w:highlight w:val="none"/>
        </w:rPr>
      </w:pPr>
      <w:bookmarkStart w:id="61"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1"/>
    </w:p>
    <w:p w14:paraId="783A0BDE">
      <w:pPr>
        <w:pStyle w:val="4"/>
        <w:rPr>
          <w:rStyle w:val="27"/>
          <w:rFonts w:ascii="仿宋" w:hAnsi="仿宋" w:eastAsia="仿宋"/>
          <w:b w:val="0"/>
          <w:bCs w:val="0"/>
          <w:color w:val="auto"/>
          <w:highlight w:val="none"/>
        </w:rPr>
      </w:pPr>
      <w:bookmarkStart w:id="62"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2"/>
      <w:bookmarkStart w:id="63" w:name="_Toc15396624"/>
    </w:p>
    <w:p w14:paraId="08F2E8EA">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3"/>
    </w:p>
    <w:p w14:paraId="12657B25">
      <w:pPr>
        <w:pStyle w:val="4"/>
        <w:rPr>
          <w:rFonts w:ascii="仿宋" w:hAnsi="仿宋" w:eastAsia="仿宋"/>
          <w:color w:val="auto"/>
          <w:highlight w:val="none"/>
        </w:rPr>
      </w:pPr>
      <w:bookmarkStart w:id="64"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4"/>
    </w:p>
    <w:p w14:paraId="68771233">
      <w:pPr>
        <w:pStyle w:val="4"/>
        <w:rPr>
          <w:rFonts w:ascii="仿宋" w:hAnsi="仿宋" w:eastAsia="仿宋"/>
          <w:color w:val="auto"/>
          <w:highlight w:val="none"/>
        </w:rPr>
      </w:pPr>
      <w:bookmarkStart w:id="65"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5"/>
    </w:p>
    <w:p w14:paraId="5D39F826">
      <w:pPr>
        <w:pStyle w:val="4"/>
        <w:rPr>
          <w:rFonts w:ascii="仿宋" w:hAnsi="仿宋" w:eastAsia="仿宋"/>
          <w:color w:val="auto"/>
          <w:highlight w:val="none"/>
        </w:rPr>
      </w:pPr>
      <w:bookmarkStart w:id="66"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6"/>
    </w:p>
    <w:p w14:paraId="043FA2C8">
      <w:pPr>
        <w:pStyle w:val="4"/>
        <w:rPr>
          <w:rFonts w:ascii="仿宋" w:hAnsi="仿宋" w:eastAsia="仿宋"/>
          <w:color w:val="auto"/>
          <w:highlight w:val="none"/>
        </w:rPr>
      </w:pPr>
      <w:bookmarkStart w:id="67"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7"/>
    </w:p>
    <w:p w14:paraId="2967EC77">
      <w:pPr>
        <w:pStyle w:val="4"/>
        <w:rPr>
          <w:rFonts w:ascii="仿宋" w:hAnsi="仿宋" w:eastAsia="仿宋"/>
          <w:color w:val="auto"/>
          <w:highlight w:val="none"/>
        </w:rPr>
      </w:pPr>
      <w:bookmarkStart w:id="68"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8"/>
    </w:p>
    <w:p w14:paraId="6F0EFC98">
      <w:pPr>
        <w:pStyle w:val="4"/>
        <w:rPr>
          <w:rFonts w:ascii="仿宋" w:hAnsi="仿宋" w:eastAsia="仿宋"/>
          <w:color w:val="auto"/>
          <w:highlight w:val="none"/>
        </w:rPr>
      </w:pPr>
      <w:bookmarkStart w:id="69"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9"/>
    </w:p>
    <w:p w14:paraId="3A9C7926">
      <w:pPr>
        <w:pStyle w:val="4"/>
        <w:rPr>
          <w:rStyle w:val="27"/>
          <w:rFonts w:hint="eastAsia" w:ascii="仿宋" w:hAnsi="仿宋" w:eastAsia="仿宋"/>
          <w:b w:val="0"/>
          <w:bCs w:val="0"/>
          <w:color w:val="auto"/>
          <w:highlight w:val="none"/>
        </w:rPr>
      </w:pPr>
      <w:bookmarkStart w:id="70"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0"/>
    </w:p>
    <w:p w14:paraId="2F626825">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4E44164">
        <w:pPr>
          <w:pStyle w:val="8"/>
          <w:jc w:val="center"/>
        </w:pPr>
      </w:p>
    </w:sdtContent>
  </w:sdt>
  <w:p w14:paraId="6C937F6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7553">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2EEB9">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D2EEB9">
                    <w:pPr>
                      <w:pStyle w:val="8"/>
                    </w:pPr>
                    <w:r>
                      <w:fldChar w:fldCharType="begin"/>
                    </w:r>
                    <w:r>
                      <w:instrText xml:space="preserve"> PAGE  \* MERGEFORMAT </w:instrText>
                    </w:r>
                    <w:r>
                      <w:fldChar w:fldCharType="separate"/>
                    </w:r>
                    <w:r>
                      <w:t>2</w:t>
                    </w:r>
                    <w:r>
                      <w:fldChar w:fldCharType="end"/>
                    </w:r>
                  </w:p>
                </w:txbxContent>
              </v:textbox>
            </v:shape>
          </w:pict>
        </mc:Fallback>
      </mc:AlternateContent>
    </w:r>
    <w:sdt>
      <w:sdtPr>
        <w:id w:val="147451765"/>
      </w:sdtPr>
      <w:sdtContent/>
    </w:sdt>
  </w:p>
  <w:p w14:paraId="5FE964F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96C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7AD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37AD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A02C">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MDFkNzQxOTAyMTU3MDc3MGZjOGUxYjI3ZDQx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DB7CBE"/>
    <w:rsid w:val="04A058F9"/>
    <w:rsid w:val="066E0107"/>
    <w:rsid w:val="07996F6E"/>
    <w:rsid w:val="0A2032A3"/>
    <w:rsid w:val="101860EC"/>
    <w:rsid w:val="10C055FF"/>
    <w:rsid w:val="118107EC"/>
    <w:rsid w:val="13D50BC4"/>
    <w:rsid w:val="16BB723D"/>
    <w:rsid w:val="1B782DC7"/>
    <w:rsid w:val="1BE8440E"/>
    <w:rsid w:val="1D155CEE"/>
    <w:rsid w:val="22196ECE"/>
    <w:rsid w:val="23860B96"/>
    <w:rsid w:val="240371BF"/>
    <w:rsid w:val="29FD04D3"/>
    <w:rsid w:val="2C8A61B5"/>
    <w:rsid w:val="2DF04E50"/>
    <w:rsid w:val="307625F4"/>
    <w:rsid w:val="31655188"/>
    <w:rsid w:val="319F7F4E"/>
    <w:rsid w:val="36AA5135"/>
    <w:rsid w:val="37E16F03"/>
    <w:rsid w:val="3C9C2EDD"/>
    <w:rsid w:val="3D98207C"/>
    <w:rsid w:val="3E906FAF"/>
    <w:rsid w:val="410D4351"/>
    <w:rsid w:val="41771260"/>
    <w:rsid w:val="44E268DA"/>
    <w:rsid w:val="49065120"/>
    <w:rsid w:val="4A627F82"/>
    <w:rsid w:val="4B4F25DA"/>
    <w:rsid w:val="4BE068DB"/>
    <w:rsid w:val="4D577224"/>
    <w:rsid w:val="4EAB630A"/>
    <w:rsid w:val="4ECE2238"/>
    <w:rsid w:val="58D63E6C"/>
    <w:rsid w:val="5AF92295"/>
    <w:rsid w:val="5CD71FC4"/>
    <w:rsid w:val="61943063"/>
    <w:rsid w:val="6B683C7C"/>
    <w:rsid w:val="6C4A05C8"/>
    <w:rsid w:val="6E7E3605"/>
    <w:rsid w:val="6FF5CC65"/>
    <w:rsid w:val="715C0E4B"/>
    <w:rsid w:val="72734D90"/>
    <w:rsid w:val="73AD73D5"/>
    <w:rsid w:val="73B6EB34"/>
    <w:rsid w:val="79EE5BA4"/>
    <w:rsid w:val="7A894339"/>
    <w:rsid w:val="7D32694D"/>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UserStyle_0"/>
    <w:basedOn w:val="1"/>
    <w:qFormat/>
    <w:uiPriority w:val="0"/>
    <w:pPr>
      <w:jc w:val="left"/>
    </w:pPr>
    <w:rPr>
      <w:rFonts w:ascii="宋体" w:hAnsi="Calibri" w:eastAsia="宋体"/>
      <w:color w:val="000000"/>
      <w:kern w:val="0"/>
      <w:sz w:val="24"/>
      <w:szCs w:val="24"/>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正文1"/>
    <w:qFormat/>
    <w:uiPriority w:val="0"/>
    <w:pPr>
      <w:widowControl w:val="0"/>
      <w:jc w:val="both"/>
    </w:pPr>
    <w:rPr>
      <w:rFonts w:ascii="Times New Roman" w:hAnsi="Times New Roman" w:eastAsia="Times New Roman"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73881713120326"/>
          <c:y val="0.210745900193969"/>
          <c:w val="0.51974439157036"/>
          <c:h val="0.674082172456357"/>
        </c:manualLayout>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770014931635903"/>
                  <c:y val="-0.20879352485765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615"/>
                      <c:h val="0.116"/>
                    </c:manualLayout>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15:layout>
                    <c:manualLayout>
                      <c:w val="0.0475"/>
                      <c:h val="0.08916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其他收入</c:v>
                </c:pt>
                <c:pt idx="3">
                  <c:v>年初结转和结余</c:v>
                </c:pt>
              </c:strCache>
            </c:strRef>
          </c:cat>
          <c:val>
            <c:numRef>
              <c:f>Sheet1!$B$2:$B$5</c:f>
              <c:numCache>
                <c:formatCode>General</c:formatCode>
                <c:ptCount val="4"/>
                <c:pt idx="0">
                  <c:v>91.2</c:v>
                </c:pt>
                <c:pt idx="1">
                  <c:v>6</c:v>
                </c:pt>
                <c:pt idx="2">
                  <c:v>0.8</c:v>
                </c:pt>
                <c:pt idx="3">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eba45b7-11b7-48e9-81e4-3e0da4c54f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3013150371641"/>
          <c:y val="0.165256994144437"/>
          <c:w val="0.452115494568325"/>
          <c:h val="0.685968336586424"/>
        </c:manualLayout>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3074439018185"/>
                  <c:y val="-0.303273253746478"/>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11263579188107"/>
                      <c:h val="0.243114291910648"/>
                    </c:manualLayout>
                  </c15:layout>
                </c:ext>
              </c:extLst>
            </c:dLbl>
            <c:dLbl>
              <c:idx val="1"/>
              <c:layout>
                <c:manualLayout>
                  <c:x val="0.0164360069249272"/>
                  <c:y val="0.13337670787247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21783876500858"/>
                      <c:h val="0.18087182823682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92.3</c:v>
                </c:pt>
                <c:pt idx="1">
                  <c:v>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e5da9c-e910-4337-8e57-4c8800c56b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财政拨款收、支决算总计柱状图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Sheet1!$B$2:$B$5</c:f>
              <c:numCache>
                <c:formatCode>General</c:formatCode>
                <c:ptCount val="4"/>
                <c:pt idx="0">
                  <c:v>220.27</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1">
                  <c:v>169.7</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2020</c:v>
                </c:pt>
                <c:pt idx="1">
                  <c:v>2021</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83005349"/>
        <c:axId val="47876617"/>
      </c:barChart>
      <c:catAx>
        <c:axId val="830053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76617"/>
        <c:crosses val="autoZero"/>
        <c:auto val="1"/>
        <c:lblAlgn val="ctr"/>
        <c:lblOffset val="100"/>
        <c:noMultiLvlLbl val="0"/>
      </c:catAx>
      <c:valAx>
        <c:axId val="478766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534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04d9b6-c73f-48c7-8511-b7c7915854e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一般公共预算财政拨款支出决算柱状图</a:t>
            </a:r>
          </a:p>
        </c:rich>
      </c:tx>
      <c:layout/>
      <c:overlay val="0"/>
      <c:spPr>
        <a:noFill/>
        <a:ln>
          <a:noFill/>
        </a:ln>
        <a:effectLst/>
      </c:spPr>
    </c:title>
    <c:autoTitleDeleted val="0"/>
    <c:plotArea>
      <c:layout>
        <c:manualLayout>
          <c:layoutTarget val="inner"/>
          <c:xMode val="edge"/>
          <c:yMode val="edge"/>
          <c:x val="0.0692"/>
          <c:y val="0.127"/>
          <c:w val="0.905175"/>
          <c:h val="0.716566666666667"/>
        </c:manualLayout>
      </c:layout>
      <c:barChart>
        <c:barDir val="col"/>
        <c:grouping val="clustered"/>
        <c:varyColors val="0"/>
        <c:ser>
          <c:idx val="0"/>
          <c:order val="0"/>
          <c:tx>
            <c:strRef>
              <c:f>Sheet1!$C$1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2">
                  <c:v>2021</c:v>
                </c:pt>
              </c:numCache>
            </c:numRef>
          </c:cat>
          <c:val>
            <c:numRef>
              <c:f>Sheet1!$C$2:$C$5</c:f>
              <c:numCache>
                <c:formatCode>General</c:formatCode>
                <c:ptCount val="4"/>
                <c:pt idx="0">
                  <c:v>162.3</c:v>
                </c:pt>
              </c:numCache>
            </c:numRef>
          </c:val>
        </c:ser>
        <c:ser>
          <c:idx val="1"/>
          <c:order val="1"/>
          <c:tx>
            <c:strRef>
              <c:f>Sheet1!$D$1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2">
                  <c:v>2021</c:v>
                </c:pt>
              </c:numCache>
            </c:numRef>
          </c:cat>
          <c:val>
            <c:numRef>
              <c:f>Sheet1!$D$2:$D$5</c:f>
              <c:numCache>
                <c:formatCode>General</c:formatCode>
                <c:ptCount val="4"/>
                <c:pt idx="2">
                  <c:v>156.5</c:v>
                </c:pt>
              </c:numCache>
            </c:numRef>
          </c:val>
        </c:ser>
        <c:dLbls>
          <c:showLegendKey val="0"/>
          <c:showVal val="1"/>
          <c:showCatName val="0"/>
          <c:showSerName val="0"/>
          <c:showPercent val="0"/>
          <c:showBubbleSize val="0"/>
        </c:dLbls>
        <c:gapWidth val="219"/>
        <c:overlap val="-27"/>
        <c:axId val="294802614"/>
        <c:axId val="100884307"/>
      </c:barChart>
      <c:catAx>
        <c:axId val="2948026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884307"/>
        <c:crosses val="autoZero"/>
        <c:auto val="1"/>
        <c:lblAlgn val="ctr"/>
        <c:lblOffset val="100"/>
        <c:noMultiLvlLbl val="0"/>
      </c:catAx>
      <c:valAx>
        <c:axId val="1008843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8026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88c401-64a2-42a3-bddb-9e8d2d8a2b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文化旅游体育与传媒</c:v>
                </c:pt>
                <c:pt idx="1">
                  <c:v>社会保障和就业</c:v>
                </c:pt>
                <c:pt idx="2">
                  <c:v>卫生健康</c:v>
                </c:pt>
                <c:pt idx="3">
                  <c:v>自然资源海洋性气象等</c:v>
                </c:pt>
                <c:pt idx="4">
                  <c:v>住房保障</c:v>
                </c:pt>
              </c:strCache>
            </c:strRef>
          </c:cat>
          <c:val>
            <c:numRef>
              <c:f>Sheet1!$B$2:$B$6</c:f>
              <c:numCache>
                <c:formatCode>General</c:formatCode>
                <c:ptCount val="5"/>
                <c:pt idx="0">
                  <c:v>0.3</c:v>
                </c:pt>
                <c:pt idx="1">
                  <c:v>9.2</c:v>
                </c:pt>
                <c:pt idx="2">
                  <c:v>4.7</c:v>
                </c:pt>
                <c:pt idx="3">
                  <c:v>75.8</c:v>
                </c:pt>
                <c:pt idx="4">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af3b669-afc1-4629-a7e9-164a4a4bb3c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c:v>
                </c:pt>
                <c:pt idx="2">
                  <c:v>公务接待</c:v>
                </c:pt>
              </c:strCache>
            </c:strRef>
          </c:cat>
          <c:val>
            <c:numRef>
              <c:f>Sheet1!$B$2:$B$4</c:f>
              <c:numCache>
                <c:formatCode>General</c:formatCode>
                <c:ptCount val="3"/>
                <c:pt idx="0">
                  <c:v>1</c:v>
                </c:pt>
                <c:pt idx="1">
                  <c:v>1</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1b46d3-77cb-4058-b885-131a77030b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11337</Words>
  <Characters>12072</Characters>
  <Lines>61</Lines>
  <Paragraphs>17</Paragraphs>
  <TotalTime>0</TotalTime>
  <ScaleCrop>false</ScaleCrop>
  <LinksUpToDate>false</LinksUpToDate>
  <CharactersWithSpaces>12186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ly</cp:lastModifiedBy>
  <cp:lastPrinted>2022-08-08T09:11:00Z</cp:lastPrinted>
  <dcterms:modified xsi:type="dcterms:W3CDTF">2024-12-19T00:51:48Z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A847C1F323BE49AC9AA921363EB1C221</vt:lpwstr>
  </property>
</Properties>
</file>