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遂宁市城市绿线管理办法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（修订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）</w:t>
      </w:r>
    </w:p>
    <w:p>
      <w:pPr>
        <w:widowControl/>
        <w:ind w:firstLine="640" w:firstLineChars="200"/>
        <w:jc w:val="left"/>
        <w:rPr>
          <w:rFonts w:hint="eastAsia" w:ascii="黑体" w:hAnsi="黑体" w:eastAsia="黑体" w:cs="Times New Roman"/>
          <w:sz w:val="32"/>
        </w:rPr>
      </w:pP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 xml:space="preserve">第一条 </w:t>
      </w:r>
      <w:r>
        <w:rPr>
          <w:rFonts w:hint="eastAsia" w:ascii="Times New Roman" w:hAnsi="Times New Roman" w:eastAsia="仿宋_GB2312" w:cs="Times New Roman"/>
          <w:sz w:val="32"/>
        </w:rPr>
        <w:t xml:space="preserve"> 为建立并严格实行城市绿线管理制度，保障遂宁市城市绿线的实施，加强城市生态环境建设，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持续</w:t>
      </w:r>
      <w:r>
        <w:rPr>
          <w:rFonts w:hint="eastAsia" w:ascii="Times New Roman" w:hAnsi="Times New Roman" w:eastAsia="仿宋_GB2312" w:cs="Times New Roman"/>
          <w:sz w:val="32"/>
        </w:rPr>
        <w:t>推进遂宁市海绵城市建设，根据《中华人民共和国城乡规划法》《城市绿化条例》《四川省城乡规划条例》《城市绿线管理办法》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《中华人民共和国土地管理法》《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24"/>
          <w:shd w:val="clear" w:color="auto" w:fill="auto"/>
          <w:lang w:val="en-US" w:eastAsia="zh-CN" w:bidi="ar"/>
        </w:rPr>
        <w:t>四川省〈中华人民共和国土地管理法〉实施办法》</w:t>
      </w:r>
      <w:r>
        <w:rPr>
          <w:rFonts w:hint="eastAsia" w:ascii="Times New Roman" w:hAnsi="Times New Roman" w:eastAsia="仿宋_GB2312" w:cs="Times New Roman"/>
          <w:sz w:val="32"/>
        </w:rPr>
        <w:t>等法律、法规、规章，结合我市实际，制定本办法。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第二条</w:t>
      </w:r>
      <w:r>
        <w:rPr>
          <w:rFonts w:hint="eastAsia" w:ascii="Times New Roman" w:hAnsi="Times New Roman" w:eastAsia="仿宋_GB2312" w:cs="Times New Roman"/>
          <w:sz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lang w:val="en-US"/>
        </w:rPr>
        <w:t>本办法所称城市绿线是指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中心城区城镇开发边界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/>
        </w:rPr>
        <w:t>范围内</w:t>
      </w:r>
      <w:r>
        <w:rPr>
          <w:rFonts w:hint="default" w:ascii="Times New Roman" w:hAnsi="Times New Roman" w:eastAsia="仿宋_GB2312" w:cs="Times New Roman"/>
          <w:sz w:val="32"/>
          <w:lang w:val="en-US"/>
        </w:rPr>
        <w:t>各种绿地的控制线和古树名木保护范围的控制线，包括已建成绿地绿线、规划预留绿地绿线和古树名木绿线</w:t>
      </w:r>
      <w:r>
        <w:rPr>
          <w:rFonts w:hint="eastAsia" w:ascii="Times New Roman" w:hAnsi="Times New Roman" w:eastAsia="仿宋_GB2312" w:cs="Times New Roman"/>
          <w:sz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第三条</w:t>
      </w:r>
      <w:r>
        <w:rPr>
          <w:rFonts w:hint="eastAsia" w:ascii="Times New Roman" w:hAnsi="Times New Roman" w:eastAsia="仿宋_GB2312" w:cs="Times New Roman"/>
          <w:sz w:val="32"/>
        </w:rPr>
        <w:t xml:space="preserve">  本办法适用于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中心城区城镇开发边界</w:t>
      </w:r>
      <w:r>
        <w:rPr>
          <w:rFonts w:hint="eastAsia" w:ascii="Times New Roman" w:hAnsi="Times New Roman" w:eastAsia="仿宋_GB2312" w:cs="Times New Roman"/>
          <w:sz w:val="32"/>
        </w:rPr>
        <w:t>范围内绿线的划定和监督管理。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u w:val="none"/>
        </w:rPr>
      </w:pPr>
      <w:r>
        <w:rPr>
          <w:rFonts w:hint="eastAsia" w:ascii="黑体" w:hAnsi="黑体" w:eastAsia="黑体" w:cs="Times New Roman"/>
          <w:sz w:val="32"/>
        </w:rPr>
        <w:t>第四</w:t>
      </w:r>
      <w:r>
        <w:rPr>
          <w:rFonts w:hint="eastAsia" w:ascii="黑体" w:hAnsi="黑体" w:eastAsia="黑体" w:cs="Times New Roman"/>
          <w:sz w:val="32"/>
          <w:u w:val="none"/>
        </w:rPr>
        <w:t>条</w:t>
      </w:r>
      <w:r>
        <w:rPr>
          <w:rFonts w:hint="eastAsia" w:ascii="Times New Roman" w:hAnsi="Times New Roman" w:eastAsia="仿宋_GB2312" w:cs="Times New Roman"/>
          <w:sz w:val="32"/>
          <w:u w:val="non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u w:val="none"/>
          <w:lang w:eastAsia="zh-CN"/>
        </w:rPr>
        <w:t>自然资源和规划行政</w:t>
      </w:r>
      <w:r>
        <w:rPr>
          <w:rFonts w:hint="eastAsia" w:ascii="Times New Roman" w:hAnsi="Times New Roman" w:eastAsia="仿宋_GB2312" w:cs="Times New Roman"/>
          <w:sz w:val="32"/>
          <w:u w:val="none"/>
        </w:rPr>
        <w:t>主管部门</w:t>
      </w:r>
      <w:r>
        <w:rPr>
          <w:rFonts w:hint="eastAsia" w:ascii="Times New Roman" w:hAnsi="Times New Roman" w:eastAsia="仿宋_GB2312" w:cs="Times New Roman"/>
          <w:sz w:val="32"/>
          <w:highlight w:val="none"/>
          <w:u w:val="none"/>
        </w:rPr>
        <w:t>会同园林绿化行政主管部门负责城</w:t>
      </w:r>
      <w:r>
        <w:rPr>
          <w:rFonts w:hint="eastAsia" w:ascii="Times New Roman" w:hAnsi="Times New Roman" w:eastAsia="仿宋_GB2312" w:cs="Times New Roman"/>
          <w:sz w:val="32"/>
          <w:u w:val="none"/>
        </w:rPr>
        <w:t>市绿线的划定工作。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eastAsia="zh-CN"/>
        </w:rPr>
        <w:t>自然资源和规划、</w:t>
      </w:r>
      <w:r>
        <w:rPr>
          <w:rFonts w:hint="eastAsia" w:ascii="Times New Roman" w:hAnsi="Times New Roman" w:eastAsia="仿宋_GB2312" w:cs="Times New Roman"/>
          <w:sz w:val="32"/>
          <w:u w:val="none"/>
        </w:rPr>
        <w:t>园林绿化行政主管部门应根据</w:t>
      </w:r>
      <w:r>
        <w:rPr>
          <w:rFonts w:hint="eastAsia" w:ascii="Times New Roman" w:hAnsi="Times New Roman" w:eastAsia="仿宋_GB2312" w:cs="Times New Roman"/>
          <w:sz w:val="32"/>
          <w:u w:val="none"/>
          <w:lang w:eastAsia="zh-CN"/>
        </w:rPr>
        <w:t>国土空间</w:t>
      </w:r>
      <w:r>
        <w:rPr>
          <w:rFonts w:hint="eastAsia" w:ascii="Times New Roman" w:hAnsi="Times New Roman" w:eastAsia="仿宋_GB2312" w:cs="Times New Roman"/>
          <w:sz w:val="32"/>
        </w:rPr>
        <w:t>总体规划编制城市绿地系统规划，确定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中心城区城镇开发边界</w:t>
      </w:r>
      <w:r>
        <w:rPr>
          <w:rFonts w:hint="eastAsia" w:ascii="Times New Roman" w:hAnsi="Times New Roman" w:eastAsia="仿宋_GB2312" w:cs="Times New Roman"/>
          <w:sz w:val="32"/>
        </w:rPr>
        <w:t>范围内需要保护和控制的绿线范围，确定城市绿化目标、原则、标准和布局，规定城市各类绿地的控制原则，并对下一层次规划中的绿地配置提出指标分配和控制要求。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第五条</w:t>
      </w:r>
      <w:r>
        <w:rPr>
          <w:rFonts w:hint="eastAsia"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自然资源和规划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住房城乡建设</w:t>
      </w:r>
      <w:r>
        <w:rPr>
          <w:rFonts w:hint="eastAsia" w:ascii="Times New Roman" w:hAnsi="Times New Roman" w:eastAsia="仿宋_GB2312" w:cs="Times New Roman"/>
          <w:sz w:val="32"/>
        </w:rPr>
        <w:t>、水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利</w:t>
      </w:r>
      <w:r>
        <w:rPr>
          <w:rFonts w:hint="eastAsia" w:ascii="Times New Roman" w:hAnsi="Times New Roman" w:eastAsia="仿宋_GB2312" w:cs="Times New Roman"/>
          <w:sz w:val="32"/>
        </w:rPr>
        <w:t>、林业、农业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农村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生态环境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交通运输</w:t>
      </w:r>
      <w:r>
        <w:rPr>
          <w:rFonts w:hint="eastAsia" w:ascii="Times New Roman" w:hAnsi="Times New Roman" w:eastAsia="仿宋_GB2312" w:cs="Times New Roman"/>
          <w:sz w:val="32"/>
        </w:rPr>
        <w:t>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文化广电旅游</w:t>
      </w:r>
      <w:r>
        <w:rPr>
          <w:rFonts w:hint="eastAsia" w:ascii="Times New Roman" w:hAnsi="Times New Roman" w:eastAsia="仿宋_GB2312" w:cs="Times New Roman"/>
          <w:sz w:val="32"/>
        </w:rPr>
        <w:t>等行政主管部门按照各自职能，做好城市绿线的监督和管理工作。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第六条</w:t>
      </w:r>
      <w:r>
        <w:rPr>
          <w:rFonts w:hint="eastAsia"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自然资源和规划行政主管</w:t>
      </w:r>
      <w:r>
        <w:rPr>
          <w:rFonts w:hint="eastAsia" w:ascii="Times New Roman" w:hAnsi="Times New Roman" w:eastAsia="仿宋_GB2312" w:cs="Times New Roman"/>
          <w:sz w:val="32"/>
        </w:rPr>
        <w:t>部门在组织编制详细规划时，应当根据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国土空间总体规划</w:t>
      </w:r>
      <w:r>
        <w:rPr>
          <w:rFonts w:hint="eastAsia" w:ascii="Times New Roman" w:hAnsi="Times New Roman" w:eastAsia="仿宋_GB2312" w:cs="Times New Roman"/>
          <w:sz w:val="32"/>
        </w:rPr>
        <w:t>和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相关专项规划</w:t>
      </w:r>
      <w:r>
        <w:rPr>
          <w:rFonts w:hint="eastAsia" w:ascii="Times New Roman" w:hAnsi="Times New Roman" w:eastAsia="仿宋_GB2312" w:cs="Times New Roman"/>
          <w:sz w:val="32"/>
        </w:rPr>
        <w:t>提出的绿地规模、指标要求，进一步细化落实绿地率控制指标和绿化用地界线具体坐标，明确各类绿地的定位、定性、定量的规划控制要求。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第七条</w:t>
      </w:r>
      <w:r>
        <w:rPr>
          <w:rFonts w:hint="eastAsia"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建设单位在编制</w:t>
      </w:r>
      <w:r>
        <w:rPr>
          <w:rFonts w:hint="eastAsia" w:ascii="Times New Roman" w:hAnsi="Times New Roman" w:eastAsia="仿宋_GB2312" w:cs="Times New Roman"/>
          <w:sz w:val="32"/>
        </w:rPr>
        <w:t>各项工程建设项目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设计</w:t>
      </w:r>
      <w:r>
        <w:rPr>
          <w:rFonts w:hint="eastAsia" w:ascii="Times New Roman" w:hAnsi="Times New Roman" w:eastAsia="仿宋_GB2312" w:cs="Times New Roman"/>
          <w:sz w:val="32"/>
        </w:rPr>
        <w:t>方案时，应当根据详细规划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和规划设计条件</w:t>
      </w:r>
      <w:r>
        <w:rPr>
          <w:rFonts w:hint="eastAsia" w:ascii="Times New Roman" w:hAnsi="Times New Roman" w:eastAsia="仿宋_GB2312" w:cs="Times New Roman"/>
          <w:sz w:val="32"/>
        </w:rPr>
        <w:t>的要求，明确绿地布局，提出绿化配置的原则和方案，划定绿地界限，明确绿化率指标。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第八条</w:t>
      </w:r>
      <w:r>
        <w:rPr>
          <w:rFonts w:hint="eastAsia" w:ascii="Times New Roman" w:hAnsi="Times New Roman" w:eastAsia="仿宋_GB2312" w:cs="Times New Roman"/>
          <w:sz w:val="32"/>
        </w:rPr>
        <w:t xml:space="preserve">  下列区域应划定城市绿线：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（一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）现状及规划的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中心城区城镇开发边界范围内的</w:t>
      </w:r>
      <w:r>
        <w:rPr>
          <w:rFonts w:hint="eastAsia" w:ascii="Times New Roman" w:hAnsi="Times New Roman" w:eastAsia="仿宋_GB2312" w:cs="Times New Roman"/>
          <w:color w:val="auto"/>
          <w:sz w:val="32"/>
        </w:rPr>
        <w:t>公园绿地、防护绿地、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重要附属绿地（对绿地结构、城市景观风貌等有重大影响的城市道路、地块内部的附属绿地）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、广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场</w:t>
      </w:r>
      <w:r>
        <w:rPr>
          <w:rFonts w:hint="eastAsia" w:ascii="Times New Roman" w:hAnsi="Times New Roman" w:eastAsia="仿宋_GB2312" w:cs="Times New Roman"/>
          <w:sz w:val="32"/>
        </w:rPr>
        <w:t>绿地；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（二）现状及规划的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中心城区城镇开发边界范围内的</w:t>
      </w:r>
      <w:r>
        <w:rPr>
          <w:rFonts w:hint="eastAsia" w:ascii="Times New Roman" w:hAnsi="Times New Roman" w:eastAsia="仿宋_GB2312" w:cs="Times New Roman"/>
          <w:sz w:val="32"/>
        </w:rPr>
        <w:t>其他绿地，包括风景名胜区、郊野公园、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森林公园、湿地公园、野生动植物园、地质公园、生态保育绿地、区域设施防护绿地、生产绿地等</w:t>
      </w:r>
      <w:r>
        <w:rPr>
          <w:rFonts w:hint="eastAsia" w:ascii="Times New Roman" w:hAnsi="Times New Roman" w:eastAsia="仿宋_GB2312" w:cs="Times New Roman"/>
          <w:sz w:val="32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（三）其他对城市生态和景观产生积极作用的区域；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第九条</w:t>
      </w:r>
      <w:r>
        <w:rPr>
          <w:rFonts w:hint="eastAsia" w:ascii="Times New Roman" w:hAnsi="Times New Roman" w:eastAsia="仿宋_GB2312" w:cs="Times New Roman"/>
          <w:sz w:val="32"/>
        </w:rPr>
        <w:t xml:space="preserve">  批准的城市绿线应向社会公布，接受公众监督。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任何单位和个人都有保护城市绿地、服从城市绿线管理的义务，有监督城市绿线管理、对违反城市管理行为进行检举的权利。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第十条</w:t>
      </w:r>
      <w:r>
        <w:rPr>
          <w:rFonts w:hint="eastAsia" w:ascii="Times New Roman" w:hAnsi="Times New Roman" w:eastAsia="仿宋_GB2312" w:cs="Times New Roman"/>
          <w:sz w:val="32"/>
        </w:rPr>
        <w:t xml:space="preserve">  绿线管理应纳入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国土空间总体规划</w:t>
      </w:r>
      <w:r>
        <w:rPr>
          <w:rFonts w:hint="eastAsia" w:ascii="Times New Roman" w:hAnsi="Times New Roman" w:eastAsia="仿宋_GB2312" w:cs="Times New Roman"/>
          <w:sz w:val="32"/>
        </w:rPr>
        <w:t>强制性内容进行管理。其审批、调整按照《中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华</w:t>
      </w:r>
      <w:r>
        <w:rPr>
          <w:rFonts w:hint="eastAsia" w:ascii="Times New Roman" w:hAnsi="Times New Roman" w:eastAsia="仿宋_GB2312" w:cs="Times New Roman"/>
          <w:sz w:val="32"/>
        </w:rPr>
        <w:t>人民共和国城乡规划法》《城市绿化条例》以及本办法的规定进行。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第十一条</w:t>
      </w:r>
      <w:r>
        <w:rPr>
          <w:rFonts w:hint="eastAsia" w:ascii="Times New Roman" w:hAnsi="Times New Roman" w:eastAsia="仿宋_GB2312" w:cs="Times New Roman"/>
          <w:sz w:val="32"/>
        </w:rPr>
        <w:t xml:space="preserve">  已批准的城市绿线只允许在以下特殊情况时进行调整：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（一）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国土空间总体规划</w:t>
      </w:r>
      <w:r>
        <w:rPr>
          <w:rFonts w:hint="eastAsia" w:ascii="Times New Roman" w:hAnsi="Times New Roman" w:eastAsia="仿宋_GB2312" w:cs="Times New Roman"/>
          <w:sz w:val="32"/>
        </w:rPr>
        <w:t>等上位城乡规划发生变更，提出修改规划要求；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（二）城市重大基础设施、城市历史文化保护、城市重大防灾救灾项目的需要；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（三）因保护自然资源、景观环境及有利于规划绿地实施建设的需要，经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自然资源、</w:t>
      </w:r>
      <w:r>
        <w:rPr>
          <w:rFonts w:hint="eastAsia" w:ascii="Times New Roman" w:hAnsi="Times New Roman" w:eastAsia="仿宋_GB2312" w:cs="Times New Roman"/>
          <w:sz w:val="32"/>
        </w:rPr>
        <w:t>园林绿化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、林业、水利、交通运输等</w:t>
      </w:r>
      <w:r>
        <w:rPr>
          <w:rFonts w:hint="eastAsia" w:ascii="Times New Roman" w:hAnsi="Times New Roman" w:eastAsia="仿宋_GB2312" w:cs="Times New Roman"/>
          <w:sz w:val="32"/>
        </w:rPr>
        <w:t>行政主管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</w:rPr>
        <w:t>部门共同研究认定确需调整的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eastAsia="zh-CN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eastAsia="zh-CN"/>
        </w:rPr>
        <w:t>（四）有利于提升绿地率和增加绿地面积的其他情形（安居区自规）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黑体" w:hAnsi="黑体" w:eastAsia="黑体" w:cs="Times New Roman"/>
          <w:sz w:val="32"/>
        </w:rPr>
        <w:t>第十二条</w:t>
      </w:r>
      <w:r>
        <w:rPr>
          <w:rFonts w:hint="eastAsia" w:ascii="Times New Roman" w:hAnsi="Times New Roman" w:eastAsia="仿宋_GB2312" w:cs="Times New Roman"/>
          <w:sz w:val="32"/>
        </w:rPr>
        <w:t xml:space="preserve">  对详细规划确定的绿线进行变更和调整的，应当由具有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相应资质的设计单位编制调整方案及论证报告，由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自然资源和规划行政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主管部门会同</w:t>
      </w:r>
      <w:r>
        <w:rPr>
          <w:rFonts w:hint="eastAsia" w:ascii="Times New Roman" w:hAnsi="Times New Roman" w:eastAsia="仿宋_GB2312" w:cs="Times New Roman"/>
          <w:sz w:val="32"/>
          <w:highlight w:val="none"/>
          <w:u w:val="none"/>
        </w:rPr>
        <w:t>园林绿化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、林业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行政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主管部门等单位组织专家论证，报原审批机关批准。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黑体" w:hAnsi="黑体" w:eastAsia="黑体" w:cs="Times New Roman"/>
          <w:sz w:val="32"/>
          <w:highlight w:val="none"/>
        </w:rPr>
        <w:t>第十三条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 xml:space="preserve">  对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各项工程建设项目设计方案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确定的绿线进行变更和调整的，应当由具有相应资质的设计单位编制调整方案，由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自然资源和规划行政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主管部门会同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相关部门审查后按程序审批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第十四条</w:t>
      </w:r>
      <w:r>
        <w:rPr>
          <w:rFonts w:hint="eastAsia" w:ascii="Times New Roman" w:hAnsi="Times New Roman" w:eastAsia="仿宋_GB2312" w:cs="Times New Roman"/>
          <w:sz w:val="32"/>
        </w:rPr>
        <w:t xml:space="preserve">  城市新建、扩建的建设工程必须按照规定的绿地指标配套建设绿地，配套建设绿地应当与建设工程同步设计、同步施工、同步验收。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第十五条</w:t>
      </w:r>
      <w:r>
        <w:rPr>
          <w:rFonts w:hint="eastAsia" w:ascii="Times New Roman" w:hAnsi="Times New Roman" w:eastAsia="仿宋_GB2312" w:cs="Times New Roman"/>
          <w:sz w:val="32"/>
        </w:rPr>
        <w:t xml:space="preserve">  任何单位和个人在城市绿地范围内应当遵守以下规定：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（一）不得违反法律法规、强制性标准以及批准的规划进行开发建设；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</w:rPr>
        <w:t>）因建设或者其他特殊情况，需要临时占用城市绿线内用地的，必须依法办理相关审批手续；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</w:rPr>
        <w:t>）在绿线范围内，不符合规划要求的建筑物、构筑物及其他设施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不得进行改、扩建并应当有序迁出</w:t>
      </w:r>
      <w:r>
        <w:rPr>
          <w:rFonts w:hint="eastAsia" w:ascii="Times New Roman" w:hAnsi="Times New Roman" w:eastAsia="仿宋_GB2312" w:cs="Times New Roman"/>
          <w:sz w:val="32"/>
        </w:rPr>
        <w:t>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（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四</w:t>
      </w:r>
      <w:r>
        <w:rPr>
          <w:rFonts w:hint="eastAsia" w:ascii="Times New Roman" w:hAnsi="Times New Roman" w:eastAsia="仿宋_GB2312" w:cs="Times New Roman"/>
          <w:sz w:val="32"/>
        </w:rPr>
        <w:t>）不得在城市绿地范围内进行拦河截溪、取土采石、设置垃圾堆场、排放污水以及其他对生态环境构成破坏的活动；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</w:rPr>
        <w:t>（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五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）近期不进行绿化建设的规划绿地范围内的建设活动，应当进行生态环境影响分析，并按照《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中华人民共和国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城乡规划法》的规定，予以严格控制。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黑体" w:hAnsi="黑体" w:eastAsia="黑体" w:cs="Times New Roman"/>
          <w:sz w:val="32"/>
          <w:highlight w:val="none"/>
        </w:rPr>
        <w:t>第十六条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 xml:space="preserve">  城市绿线范围内的现有绿地，由城市园林绿化行政管理部门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会同自然资源和规划、林业、水利、交通运输等行政主管部门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登记造册，编制现有绿线控制图。城市绿线范围内的规划绿地，由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自然资源和规划行政主管部门会同园林绿化、林业、水利、交通运输等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行政主管部门编制规划绿线控制图。园林绿化行政管理部门依据规划绿线控制图，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会同自然资源、林业、水利、交通运输等部门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编制分期实施计划。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黑体" w:hAnsi="黑体" w:eastAsia="黑体" w:cs="Times New Roman"/>
          <w:sz w:val="32"/>
          <w:highlight w:val="none"/>
        </w:rPr>
        <w:t>第十七条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 xml:space="preserve">  园林绿化行政管理部门应对绿线范围内地上、地下管线提出管制要求，保证植被的生长空间。</w:t>
      </w: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自然资源</w:t>
      </w:r>
      <w:r>
        <w:rPr>
          <w:rFonts w:hint="eastAsia" w:ascii="Times New Roman" w:hAnsi="Times New Roman" w:eastAsia="仿宋_GB2312" w:cs="Times New Roman"/>
          <w:sz w:val="32"/>
          <w:highlight w:val="none"/>
        </w:rPr>
        <w:t>、园林绿化行政主管部门要按照职能分工，对城市绿线控制和实施情况进行检查，并向市政府和上级行政主管部门报告。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第十八条</w:t>
      </w:r>
      <w:r>
        <w:rPr>
          <w:rFonts w:hint="eastAsia" w:ascii="Times New Roman" w:hAnsi="Times New Roman" w:eastAsia="仿宋_GB2312" w:cs="Times New Roman"/>
          <w:sz w:val="32"/>
        </w:rPr>
        <w:t xml:space="preserve">  违反本办法规定，在城市绿线范围内进行各类建设活动的，按照《中华人民共和国城乡规划法》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《中华人民共和国土地管理法》</w:t>
      </w:r>
      <w:r>
        <w:rPr>
          <w:rFonts w:hint="eastAsia" w:ascii="Times New Roman" w:hAnsi="Times New Roman" w:eastAsia="仿宋_GB2312" w:cs="Times New Roman"/>
          <w:sz w:val="32"/>
        </w:rPr>
        <w:t>等有关法律、法规的规定处罚。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第十九条</w:t>
      </w:r>
      <w:r>
        <w:rPr>
          <w:rFonts w:hint="eastAsia" w:ascii="Times New Roman" w:hAnsi="Times New Roman" w:eastAsia="仿宋_GB2312" w:cs="Times New Roman"/>
          <w:sz w:val="32"/>
        </w:rPr>
        <w:t xml:space="preserve">  公园绿地、防护绿地、生产绿地、附属绿地和其他绿地等，必须按照绿地系统规划、详细规划等规定，进行绿地建设。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第二十条</w:t>
      </w:r>
      <w:r>
        <w:rPr>
          <w:rFonts w:hint="eastAsia" w:ascii="Times New Roman" w:hAnsi="Times New Roman" w:eastAsia="仿宋_GB2312" w:cs="Times New Roman"/>
          <w:sz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自然资源和规划</w:t>
      </w:r>
      <w:r>
        <w:rPr>
          <w:rFonts w:hint="eastAsia" w:ascii="Times New Roman" w:hAnsi="Times New Roman" w:eastAsia="仿宋_GB2312" w:cs="Times New Roman"/>
          <w:sz w:val="32"/>
        </w:rPr>
        <w:t>主管部门和其他相关部门违反本办法，违规批准在城市绿线范围内进行建设的，要对有关责任人员依法给予处分，构成犯罪的，依法追究刑事责任。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第二十一条</w:t>
      </w:r>
      <w:r>
        <w:rPr>
          <w:rFonts w:hint="eastAsia" w:ascii="Times New Roman" w:hAnsi="Times New Roman" w:eastAsia="仿宋_GB2312" w:cs="Times New Roman"/>
          <w:sz w:val="32"/>
        </w:rPr>
        <w:t xml:space="preserve">  各县（区）绿线的划定和管理工作，可结合当地实际，参考本办法执行。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黑体" w:hAnsi="黑体" w:eastAsia="黑体" w:cs="Times New Roman"/>
          <w:sz w:val="32"/>
        </w:rPr>
        <w:t>第二十二条</w:t>
      </w:r>
      <w:r>
        <w:rPr>
          <w:rFonts w:hint="eastAsia" w:ascii="Times New Roman" w:hAnsi="Times New Roman" w:eastAsia="仿宋_GB2312" w:cs="Times New Roman"/>
          <w:sz w:val="32"/>
        </w:rPr>
        <w:t xml:space="preserve">  本办法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自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</w:rPr>
        <w:t>年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月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</w:rPr>
        <w:t>日起施行。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</w:rPr>
        <w:t>第二十三条</w:t>
      </w:r>
      <w:r>
        <w:rPr>
          <w:rFonts w:hint="eastAsia" w:ascii="Times New Roman" w:hAnsi="Times New Roman" w:eastAsia="仿宋_GB2312" w:cs="Times New Roman"/>
          <w:sz w:val="32"/>
        </w:rPr>
        <w:t xml:space="preserve">  本办法由遂宁市</w:t>
      </w:r>
      <w:r>
        <w:rPr>
          <w:rFonts w:hint="eastAsia" w:ascii="Times New Roman" w:hAnsi="Times New Roman" w:eastAsia="仿宋_GB2312" w:cs="Times New Roman"/>
          <w:sz w:val="32"/>
          <w:lang w:eastAsia="zh-CN"/>
        </w:rPr>
        <w:t>自然资源和规划</w:t>
      </w:r>
      <w:r>
        <w:rPr>
          <w:rFonts w:hint="eastAsia" w:ascii="Times New Roman" w:hAnsi="Times New Roman" w:eastAsia="仿宋_GB2312" w:cs="Times New Roman"/>
          <w:sz w:val="32"/>
        </w:rPr>
        <w:t>局负责解释。</w:t>
      </w:r>
    </w:p>
    <w:p/>
    <w:sectPr>
      <w:footerReference r:id="rId3" w:type="default"/>
      <w:footerReference r:id="rId4" w:type="even"/>
      <w:pgSz w:w="11906" w:h="16838"/>
      <w:pgMar w:top="1985" w:right="1361" w:bottom="1361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7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eastAsia="宋体" w:cs="Times New Roman"/>
        <w:sz w:val="28"/>
        <w:szCs w:val="28"/>
      </w:rPr>
    </w:pPr>
    <w:r>
      <w:rPr>
        <w:rFonts w:ascii="Times New Roman" w:hAnsi="Times New Roman" w:eastAsia="宋体" w:cs="Times New Roman"/>
        <w:sz w:val="28"/>
        <w:szCs w:val="28"/>
      </w:rPr>
      <w:fldChar w:fldCharType="begin"/>
    </w:r>
    <w:r>
      <w:rPr>
        <w:rFonts w:ascii="Times New Roman" w:hAnsi="Times New Roman" w:eastAsia="宋体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eastAsia="宋体" w:cs="Times New Roman"/>
        <w:sz w:val="28"/>
        <w:szCs w:val="28"/>
      </w:rPr>
      <w:fldChar w:fldCharType="separate"/>
    </w:r>
    <w:r>
      <w:rPr>
        <w:rFonts w:ascii="Times New Roman" w:hAnsi="Times New Roman" w:eastAsia="宋体" w:cs="Times New Roman"/>
        <w:sz w:val="28"/>
        <w:szCs w:val="28"/>
        <w:lang w:val="zh-CN"/>
      </w:rPr>
      <w:t>8</w:t>
    </w:r>
    <w:r>
      <w:rPr>
        <w:rFonts w:ascii="Times New Roman" w:hAnsi="Times New Roman" w:eastAsia="宋体" w:cs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OTFhNTA5MGNmOWE0NjZkZDhiZGE0NzY1MzEwYmQifQ=="/>
  </w:docVars>
  <w:rsids>
    <w:rsidRoot w:val="48E955D1"/>
    <w:rsid w:val="1F8B268D"/>
    <w:rsid w:val="3F1334EB"/>
    <w:rsid w:val="48E955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2336</Words>
  <Characters>2339</Characters>
  <Lines>0</Lines>
  <Paragraphs>0</Paragraphs>
  <TotalTime>6</TotalTime>
  <ScaleCrop>false</ScaleCrop>
  <LinksUpToDate>false</LinksUpToDate>
  <CharactersWithSpaces>2389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2024-07-16T09:25:00Z</dcterms:created>
  <dc:creator>桥ㄦ〰</dc:creator>
  <cp:lastModifiedBy>桥ㄦ〰</cp:lastModifiedBy>
  <cp:lastPrinted>2024-07-16T09:25:00Z</cp:lastPrinted>
  <dcterms:modified xsi:type="dcterms:W3CDTF">2024-07-24T02:35:51Z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274F6B994AD24300BA13EE1E633BE8A6_11</vt:lpwstr>
  </property>
</Properties>
</file>