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1" w:name="_Toc15377193"/>
      <w:bookmarkStart w:id="2" w:name="_Toc15378441"/>
      <w:bookmarkStart w:id="3" w:name="_Toc15396597"/>
      <w:bookmarkStart w:id="4" w:name="_Toc15377425"/>
      <w:bookmarkStart w:id="5" w:name="_Toc15396475"/>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21</w:t>
      </w:r>
      <w:r>
        <w:rPr>
          <w:rFonts w:hint="eastAsia" w:ascii="方正小标宋简体" w:hAnsi="方正小标宋简体" w:eastAsia="方正小标宋简体" w:cs="方正小标宋简体"/>
          <w:color w:val="auto"/>
          <w:sz w:val="52"/>
          <w:szCs w:val="5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eastAsia="zh-CN"/>
        </w:rPr>
      </w:pPr>
      <w:bookmarkStart w:id="6" w:name="_Toc15396476"/>
      <w:bookmarkStart w:id="7" w:name="_Toc15378442"/>
      <w:bookmarkStart w:id="8" w:name="_Toc15377194"/>
      <w:bookmarkStart w:id="9" w:name="_Toc15396598"/>
      <w:bookmarkStart w:id="10" w:name="_Toc15377426"/>
      <w:r>
        <w:rPr>
          <w:rFonts w:hint="eastAsia" w:ascii="方正小标宋简体" w:hAnsi="方正小标宋简体" w:eastAsia="方正小标宋简体" w:cs="方正小标宋简体"/>
          <w:color w:val="auto"/>
          <w:sz w:val="52"/>
          <w:szCs w:val="52"/>
          <w:highlight w:val="none"/>
        </w:rPr>
        <w:t>四川省</w:t>
      </w:r>
      <w:bookmarkEnd w:id="0"/>
      <w:bookmarkStart w:id="11" w:name="_Toc15306268"/>
      <w:r>
        <w:rPr>
          <w:rFonts w:hint="eastAsia" w:ascii="方正小标宋简体" w:hAnsi="方正小标宋简体" w:eastAsia="方正小标宋简体" w:cs="方正小标宋简体"/>
          <w:color w:val="auto"/>
          <w:sz w:val="52"/>
          <w:szCs w:val="52"/>
          <w:highlight w:val="none"/>
          <w:lang w:eastAsia="zh-CN"/>
        </w:rPr>
        <w:t>遂宁市土地储备中心</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p>
    <w:p>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pStyle w:val="3"/>
        <w:jc w:val="center"/>
        <w:rPr>
          <w:rFonts w:ascii="黑体" w:eastAsia="黑体"/>
          <w:color w:val="auto"/>
          <w:sz w:val="32"/>
          <w:szCs w:val="32"/>
          <w:highlight w:val="none"/>
        </w:rPr>
      </w:pPr>
      <w:bookmarkStart w:id="12" w:name="_Toc15377196"/>
      <w:bookmarkStart w:id="13" w:name="_Toc1539659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2"/>
      <w:bookmarkEnd w:id="13"/>
    </w:p>
    <w:p>
      <w:pPr>
        <w:pStyle w:val="4"/>
        <w:numPr>
          <w:ilvl w:val="0"/>
          <w:numId w:val="0"/>
        </w:numPr>
        <w:ind w:firstLine="640" w:firstLineChars="200"/>
        <w:rPr>
          <w:rStyle w:val="28"/>
          <w:rFonts w:hint="eastAsia" w:ascii="黑体" w:hAnsi="黑体" w:eastAsia="黑体"/>
          <w:b w:val="0"/>
          <w:bCs w:val="0"/>
          <w:color w:val="auto"/>
          <w:highlight w:val="none"/>
          <w:lang w:eastAsia="zh-CN"/>
        </w:rPr>
      </w:pPr>
      <w:bookmarkStart w:id="14" w:name="_Toc15396600"/>
      <w:bookmarkStart w:id="15" w:name="_Toc15377197"/>
      <w:r>
        <w:rPr>
          <w:rStyle w:val="28"/>
          <w:rFonts w:hint="eastAsia" w:ascii="黑体" w:hAnsi="黑体" w:eastAsia="黑体"/>
          <w:b w:val="0"/>
          <w:bCs w:val="0"/>
          <w:color w:val="auto"/>
          <w:highlight w:val="none"/>
          <w:lang w:eastAsia="zh-CN"/>
        </w:rPr>
        <w:t>一、</w:t>
      </w:r>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p>
    <w:p>
      <w:pPr>
        <w:pStyle w:val="33"/>
        <w:spacing w:line="600" w:lineRule="exact"/>
        <w:ind w:firstLine="63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遂宁市土地储备中心负责承担市本级土地储备工作，负责建立市本级土地储备库，负责市本级直储土地供应的前期工作，负责筹措土地储备资金等工作。</w:t>
      </w:r>
      <w:r>
        <w:rPr>
          <w:rStyle w:val="34"/>
          <w:rFonts w:hint="eastAsia" w:ascii="仿宋_GB2312" w:hAnsi="仿宋_GB2312" w:eastAsia="仿宋_GB2312"/>
          <w:sz w:val="32"/>
          <w:lang w:eastAsia="zh-CN"/>
        </w:rPr>
        <w:t>中心</w:t>
      </w:r>
      <w:r>
        <w:rPr>
          <w:rStyle w:val="34"/>
          <w:rFonts w:ascii="仿宋_GB2312" w:hAnsi="仿宋_GB2312" w:eastAsia="仿宋_GB2312"/>
          <w:sz w:val="32"/>
        </w:rPr>
        <w:t>是</w:t>
      </w:r>
      <w:r>
        <w:rPr>
          <w:rFonts w:ascii="仿宋_GB2312" w:hAnsi="仿宋_GB2312" w:eastAsia="仿宋_GB2312"/>
          <w:sz w:val="32"/>
        </w:rPr>
        <w:fldChar w:fldCharType="begin"/>
      </w:r>
      <w:r>
        <w:rPr>
          <w:rStyle w:val="34"/>
          <w:rFonts w:ascii="仿宋_GB2312" w:hAnsi="仿宋_GB2312" w:eastAsia="仿宋_GB2312"/>
          <w:sz w:val="32"/>
        </w:rPr>
        <w:instrText xml:space="preserve"> MERGEFIELD C0001 </w:instrText>
      </w:r>
      <w:r>
        <w:rPr>
          <w:rFonts w:ascii="仿宋_GB2312" w:hAnsi="仿宋_GB2312" w:eastAsia="仿宋_GB2312"/>
          <w:sz w:val="32"/>
        </w:rPr>
        <w:fldChar w:fldCharType="separate"/>
      </w:r>
      <w:r>
        <w:rPr>
          <w:rStyle w:val="34"/>
          <w:rFonts w:ascii="仿宋_GB2312" w:hAnsi="仿宋_GB2312" w:eastAsia="仿宋_GB2312"/>
          <w:sz w:val="32"/>
        </w:rPr>
        <w:t>市自然资源和规划局</w:t>
      </w:r>
      <w:r>
        <w:rPr>
          <w:rFonts w:ascii="仿宋_GB2312" w:hAnsi="仿宋_GB2312" w:eastAsia="仿宋_GB2312"/>
          <w:sz w:val="32"/>
        </w:rPr>
        <w:fldChar w:fldCharType="end"/>
      </w:r>
      <w:r>
        <w:rPr>
          <w:rStyle w:val="34"/>
          <w:rFonts w:ascii="仿宋_GB2312" w:hAnsi="仿宋_GB2312" w:eastAsia="仿宋_GB2312"/>
          <w:sz w:val="32"/>
        </w:rPr>
        <w:t>的下属二级预算单位，属于</w:t>
      </w:r>
      <w:r>
        <w:rPr>
          <w:rStyle w:val="34"/>
          <w:rFonts w:hint="eastAsia" w:ascii="仿宋_GB2312" w:hAnsi="仿宋_GB2312" w:eastAsia="仿宋_GB2312"/>
          <w:sz w:val="32"/>
          <w:lang w:eastAsia="zh-CN"/>
        </w:rPr>
        <w:t>事业</w:t>
      </w:r>
      <w:r>
        <w:rPr>
          <w:rStyle w:val="34"/>
          <w:rFonts w:ascii="仿宋_GB2312" w:hAnsi="仿宋_GB2312" w:eastAsia="仿宋_GB2312"/>
          <w:sz w:val="32"/>
        </w:rPr>
        <w:t>单位。</w:t>
      </w:r>
      <w:r>
        <w:rPr>
          <w:rStyle w:val="34"/>
          <w:rFonts w:hint="eastAsia" w:ascii="仿宋_GB2312" w:hAnsi="仿宋_GB2312" w:eastAsia="仿宋_GB2312"/>
          <w:sz w:val="32"/>
          <w:lang w:eastAsia="zh-CN"/>
        </w:rPr>
        <w:t>中心共有</w:t>
      </w:r>
      <w:r>
        <w:rPr>
          <w:rStyle w:val="34"/>
          <w:rFonts w:hint="eastAsia" w:ascii="仿宋_GB2312" w:hAnsi="仿宋_GB2312" w:eastAsia="仿宋_GB2312"/>
          <w:sz w:val="32"/>
          <w:lang w:val="en-US" w:eastAsia="zh-CN"/>
        </w:rPr>
        <w:t>4个科室，</w:t>
      </w:r>
      <w:r>
        <w:rPr>
          <w:rStyle w:val="34"/>
          <w:rFonts w:hint="eastAsia" w:ascii="仿宋_GB2312" w:hAnsi="仿宋_GB2312" w:eastAsia="仿宋_GB2312"/>
          <w:sz w:val="32"/>
          <w:lang w:eastAsia="zh-CN"/>
        </w:rPr>
        <w:t>包括</w:t>
      </w:r>
      <w:r>
        <w:rPr>
          <w:rStyle w:val="34"/>
          <w:rFonts w:hint="eastAsia" w:ascii="仿宋_GB2312" w:hAnsi="仿宋_GB2312" w:eastAsia="仿宋_GB2312"/>
          <w:sz w:val="32"/>
        </w:rPr>
        <w:t>办公室、财务科、土地储备科、土地经营科</w:t>
      </w:r>
      <w:r>
        <w:rPr>
          <w:rStyle w:val="34"/>
          <w:rFonts w:hint="eastAsia" w:ascii="仿宋_GB2312" w:hAnsi="仿宋_GB2312" w:eastAsia="仿宋_GB2312"/>
          <w:sz w:val="32"/>
          <w:lang w:eastAsia="zh-CN"/>
        </w:rPr>
        <w:t>。</w:t>
      </w:r>
    </w:p>
    <w:p>
      <w:pPr>
        <w:pStyle w:val="4"/>
        <w:numPr>
          <w:ilvl w:val="0"/>
          <w:numId w:val="0"/>
        </w:numPr>
        <w:ind w:firstLine="640" w:firstLineChars="200"/>
        <w:rPr>
          <w:rStyle w:val="28"/>
          <w:rFonts w:hint="eastAsia" w:ascii="黑体" w:hAnsi="黑体" w:eastAsia="黑体"/>
          <w:b w:val="0"/>
          <w:bCs w:val="0"/>
          <w:color w:val="auto"/>
          <w:highlight w:val="none"/>
          <w:lang w:eastAsia="zh-CN"/>
        </w:rPr>
      </w:pPr>
      <w:r>
        <w:rPr>
          <w:rStyle w:val="28"/>
          <w:rFonts w:hint="eastAsia" w:ascii="黑体" w:hAnsi="黑体" w:eastAsia="黑体"/>
          <w:b w:val="0"/>
          <w:bCs w:val="0"/>
          <w:color w:val="auto"/>
          <w:highlight w:val="none"/>
          <w:lang w:val="en-US" w:eastAsia="zh-CN"/>
        </w:rPr>
        <w:t>二、2021年重点</w:t>
      </w:r>
      <w:r>
        <w:rPr>
          <w:rStyle w:val="28"/>
          <w:rFonts w:hint="eastAsia" w:ascii="黑体" w:hAnsi="黑体" w:eastAsia="黑体"/>
          <w:b w:val="0"/>
          <w:bCs w:val="0"/>
          <w:color w:val="auto"/>
          <w:highlight w:val="none"/>
          <w:lang w:eastAsia="zh-CN"/>
        </w:rPr>
        <w:t>工作</w:t>
      </w:r>
      <w:bookmarkEnd w:id="14"/>
      <w:bookmarkEnd w:id="15"/>
      <w:r>
        <w:rPr>
          <w:rStyle w:val="28"/>
          <w:rFonts w:hint="eastAsia" w:ascii="黑体" w:hAnsi="黑体" w:eastAsia="黑体"/>
          <w:b w:val="0"/>
          <w:bCs w:val="0"/>
          <w:color w:val="auto"/>
          <w:highlight w:val="none"/>
          <w:lang w:eastAsia="zh-CN"/>
        </w:rPr>
        <w:t>完成情况</w:t>
      </w:r>
    </w:p>
    <w:p>
      <w:pPr>
        <w:spacing w:line="560" w:lineRule="exact"/>
        <w:ind w:firstLine="640"/>
        <w:rPr>
          <w:rFonts w:hint="eastAsia" w:ascii="仿宋_GB2312" w:hAnsi="仿宋_GB2312" w:eastAsia="仿宋_GB2312" w:cs="仿宋_GB2312"/>
          <w:sz w:val="32"/>
          <w:szCs w:val="32"/>
        </w:rPr>
      </w:pPr>
      <w:bookmarkStart w:id="16" w:name="_Toc15396602"/>
      <w:bookmarkStart w:id="17" w:name="_Toc15377204"/>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积极推进土地收储及出让。</w:t>
      </w:r>
      <w:r>
        <w:rPr>
          <w:rFonts w:hint="eastAsia" w:ascii="仿宋_GB2312" w:hAnsi="仿宋_GB2312" w:eastAsia="仿宋_GB2312" w:cs="仿宋_GB2312"/>
          <w:sz w:val="32"/>
          <w:szCs w:val="32"/>
        </w:rPr>
        <w:t>根据市政府相关会议安排，严格履行程序，及时对河东新区66.15亩土地进行收储，并协调配合调规后及时出让，为市传媒中心修建提</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保障。配合指导经开区推进玉龙路片区闲置土地收储。</w:t>
      </w:r>
    </w:p>
    <w:p>
      <w:pPr>
        <w:spacing w:line="560" w:lineRule="exact"/>
        <w:ind w:firstLine="640"/>
        <w:rPr>
          <w:rFonts w:hint="eastAsia"/>
          <w:sz w:val="32"/>
          <w:szCs w:val="32"/>
        </w:rPr>
      </w:pP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做好</w:t>
      </w:r>
      <w:r>
        <w:rPr>
          <w:rFonts w:hint="eastAsia" w:ascii="仿宋_GB2312" w:eastAsia="仿宋_GB2312"/>
          <w:b/>
          <w:bCs/>
          <w:kern w:val="0"/>
          <w:sz w:val="32"/>
          <w:szCs w:val="32"/>
        </w:rPr>
        <w:t>土地储备监测监管。</w:t>
      </w:r>
      <w:r>
        <w:rPr>
          <w:rFonts w:hint="eastAsia" w:ascii="仿宋_GB2312" w:eastAsia="仿宋_GB2312"/>
          <w:kern w:val="0"/>
          <w:sz w:val="32"/>
          <w:szCs w:val="32"/>
        </w:rPr>
        <w:t>按照部省要求，及时跟进储备土地监测监管系统升级，对市本级储备土地进行计划、入库、出库全流程监管。当前，市本级在库154宗，合计14285亩，历史出库47宗，3795亩。其中，今年录入新增入库土地39宗，2516亩；新增清理历史</w:t>
      </w:r>
      <w:r>
        <w:rPr>
          <w:rFonts w:hint="eastAsia" w:ascii="仿宋_GB2312" w:hAnsi="仿宋_GB2312" w:eastAsia="仿宋_GB2312" w:cs="仿宋_GB2312"/>
          <w:color w:val="000000"/>
          <w:sz w:val="32"/>
          <w:szCs w:val="32"/>
        </w:rPr>
        <w:t>出库24宗，合计1069亩。</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rPr>
        <w:t>（三）</w:t>
      </w:r>
      <w:r>
        <w:rPr>
          <w:rFonts w:hint="eastAsia" w:ascii="仿宋_GB2312" w:eastAsia="仿宋_GB2312"/>
          <w:b/>
          <w:bCs/>
          <w:kern w:val="0"/>
          <w:sz w:val="32"/>
          <w:szCs w:val="32"/>
        </w:rPr>
        <w:t>做好储备土地日常巡查。</w:t>
      </w:r>
      <w:r>
        <w:rPr>
          <w:rFonts w:hint="eastAsia" w:ascii="仿宋_GB2312" w:hAnsi="仿宋_GB2312" w:eastAsia="仿宋_GB2312" w:cs="仿宋_GB2312"/>
          <w:sz w:val="32"/>
          <w:szCs w:val="32"/>
        </w:rPr>
        <w:t>坚持对收储土地进行常态化巡查，及时处置存在的问题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并致函相关单位加强监管，组织制作公示牌宣告国有资产权益。</w:t>
      </w:r>
    </w:p>
    <w:p>
      <w:pPr>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lang w:eastAsia="zh-CN"/>
        </w:rPr>
        <w:t>（四）</w:t>
      </w:r>
      <w:r>
        <w:rPr>
          <w:rFonts w:hint="eastAsia" w:ascii="仿宋_GB2312" w:eastAsia="仿宋_GB2312"/>
          <w:b/>
          <w:bCs/>
          <w:kern w:val="0"/>
          <w:sz w:val="32"/>
          <w:szCs w:val="32"/>
        </w:rPr>
        <w:t>做好储备土地临时利用。</w:t>
      </w:r>
      <w:r>
        <w:rPr>
          <w:rFonts w:hint="eastAsia" w:ascii="仿宋_GB2312" w:eastAsia="仿宋_GB2312"/>
          <w:kern w:val="0"/>
          <w:sz w:val="32"/>
          <w:szCs w:val="32"/>
        </w:rPr>
        <w:t>做好原民康医院储备土地临时利用后续协调工作。</w:t>
      </w:r>
      <w:r>
        <w:rPr>
          <w:rFonts w:hint="eastAsia" w:ascii="仿宋_GB2312" w:hAnsi="仿宋_GB2312" w:eastAsia="仿宋_GB2312" w:cs="仿宋_GB2312"/>
          <w:kern w:val="0"/>
          <w:sz w:val="32"/>
          <w:szCs w:val="32"/>
        </w:rPr>
        <w:t>对租赁方擅自将其进行二次转租行为及时致函制止，确保储备土地及建筑的合规使用。</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sz w:val="32"/>
          <w:szCs w:val="32"/>
        </w:rPr>
        <w:t>做好土储资金相关工作。</w:t>
      </w:r>
      <w:r>
        <w:rPr>
          <w:rFonts w:hint="eastAsia" w:ascii="仿宋_GB2312" w:hAnsi="仿宋_GB2312" w:eastAsia="仿宋_GB2312" w:cs="仿宋_GB2312"/>
          <w:sz w:val="32"/>
          <w:szCs w:val="32"/>
        </w:rPr>
        <w:t>一是做好部门预决算编制工作。二是及时关注安居机场项目建设进展及专项债券资金使用，并组织资金归还债券利息2366万元。三是协助结算遂宁发展集团土地款共计1.21698亿元。</w:t>
      </w:r>
    </w:p>
    <w:p>
      <w:pPr>
        <w:spacing w:line="560" w:lineRule="exact"/>
        <w:ind w:firstLine="640"/>
        <w:rPr>
          <w:rFonts w:hint="eastAsia" w:ascii="仿宋_GB2312" w:eastAsia="仿宋_GB2312"/>
          <w:kern w:val="0"/>
          <w:sz w:val="32"/>
          <w:szCs w:val="32"/>
        </w:rPr>
      </w:pPr>
      <w:r>
        <w:rPr>
          <w:rFonts w:hint="eastAsia" w:ascii="仿宋_GB2312" w:hAnsi="仿宋_GB2312" w:eastAsia="仿宋_GB2312" w:cs="仿宋_GB2312"/>
          <w:b/>
          <w:bCs/>
          <w:sz w:val="32"/>
          <w:szCs w:val="32"/>
          <w:lang w:eastAsia="zh-CN"/>
        </w:rPr>
        <w:t>（六）做</w:t>
      </w:r>
      <w:r>
        <w:rPr>
          <w:rFonts w:hint="eastAsia" w:ascii="仿宋_GB2312" w:hAnsi="仿宋_GB2312" w:eastAsia="仿宋_GB2312" w:cs="仿宋_GB2312"/>
          <w:b/>
          <w:bCs/>
          <w:sz w:val="32"/>
          <w:szCs w:val="32"/>
        </w:rPr>
        <w:t>好储备土地日常管理。</w:t>
      </w:r>
      <w:r>
        <w:rPr>
          <w:rFonts w:hint="eastAsia" w:ascii="仿宋_GB2312" w:hAnsi="仿宋_GB2312" w:eastAsia="仿宋_GB2312" w:cs="仿宋_GB2312"/>
          <w:sz w:val="32"/>
          <w:szCs w:val="32"/>
        </w:rPr>
        <w:t>一是编制完成2021年土地储备年度计划和未来3年土地储备滚动计划，并于年末启动2022年年度土地储备计划及三年滚动计划的编制工作。二是加强储备土地产权证的登记、注销等动态管理。新增河东传媒中心收入土地证书，应国开区函请注销4宗储备土地权证。三是配合市审计局对经开区35宗储备土地的审计工作。</w:t>
      </w:r>
    </w:p>
    <w:p>
      <w:pPr>
        <w:pStyle w:val="3"/>
        <w:ind w:right="440"/>
        <w:jc w:val="center"/>
        <w:rPr>
          <w:rStyle w:val="27"/>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6"/>
      <w:bookmarkEnd w:id="17"/>
    </w:p>
    <w:p>
      <w:pPr>
        <w:rPr>
          <w:color w:val="auto"/>
          <w:highlight w:val="none"/>
        </w:rPr>
      </w:pPr>
    </w:p>
    <w:p>
      <w:pPr>
        <w:pStyle w:val="26"/>
        <w:numPr>
          <w:ilvl w:val="0"/>
          <w:numId w:val="0"/>
        </w:numPr>
        <w:spacing w:line="600" w:lineRule="exact"/>
        <w:ind w:left="640" w:leftChars="0"/>
        <w:outlineLvl w:val="1"/>
        <w:rPr>
          <w:rStyle w:val="28"/>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8"/>
      <w:bookmarkEnd w:id="19"/>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14715.95</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年相比，收、支总计各减少</w:t>
      </w:r>
      <w:r>
        <w:rPr>
          <w:rFonts w:hint="eastAsia" w:ascii="仿宋_GB2312" w:hAnsi="仿宋_GB2312" w:eastAsia="仿宋_GB2312" w:cs="仿宋_GB2312"/>
          <w:sz w:val="32"/>
          <w:szCs w:val="32"/>
          <w:lang w:val="en-US" w:eastAsia="zh-CN"/>
        </w:rPr>
        <w:t>14471.85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49.58</w:t>
      </w:r>
      <w:r>
        <w:rPr>
          <w:rFonts w:hint="eastAsia" w:ascii="仿宋_GB2312" w:hAnsi="仿宋_GB2312" w:eastAsia="仿宋_GB2312" w:cs="仿宋_GB2312"/>
          <w:sz w:val="32"/>
          <w:szCs w:val="32"/>
        </w:rPr>
        <w:t>%。主要变动原因是政府性基金预算财政拨款收支比上年度有所减少。</w:t>
      </w:r>
    </w:p>
    <w:p>
      <w:pPr>
        <w:spacing w:line="560" w:lineRule="exact"/>
        <w:ind w:firstLine="640"/>
        <w:rPr>
          <w:rFonts w:hint="eastAsia" w:ascii="仿宋_GB2312" w:hAnsi="仿宋_GB2312" w:eastAsia="仿宋_GB2312" w:cs="仿宋_GB2312"/>
          <w:sz w:val="32"/>
          <w:szCs w:val="32"/>
        </w:rPr>
      </w:pPr>
    </w:p>
    <w:p>
      <w:pPr>
        <w:spacing w:line="600" w:lineRule="exact"/>
        <w:rPr>
          <w:rFonts w:hint="eastAsia" w:ascii="仿宋" w:hAnsi="仿宋" w:eastAsia="仿宋"/>
          <w:color w:val="auto"/>
          <w:sz w:val="32"/>
          <w:szCs w:val="32"/>
          <w:highlight w:val="none"/>
        </w:rPr>
      </w:pPr>
    </w:p>
    <w:p>
      <w:pPr>
        <w:pStyle w:val="17"/>
        <w:rPr>
          <w:rFonts w:hint="eastAsia" w:ascii="仿宋" w:hAnsi="仿宋" w:eastAsia="仿宋"/>
          <w:color w:val="auto"/>
          <w:sz w:val="32"/>
          <w:szCs w:val="32"/>
          <w:highlight w:val="none"/>
        </w:rPr>
      </w:pPr>
      <w:r>
        <w:rPr>
          <w:rFonts w:hint="eastAsia" w:ascii="仿宋_GB2312" w:eastAsia="仿宋_GB2312"/>
          <w:color w:val="000000"/>
          <w:sz w:val="32"/>
          <w:szCs w:val="32"/>
          <w:lang w:eastAsia="zh-CN"/>
        </w:rPr>
        <w:pict>
          <v:shape id="Object 2" o:spid="_x0000_s1026" o:spt="75" type="#_x0000_t75" style="position:absolute;left:0pt;margin-left:8.8pt;margin-top:7.35pt;height:219pt;width:385.5pt;z-index:251659264;mso-width-relative:page;mso-height-relative:page;" o:ole="t" filled="f" o:preferrelative="t" stroked="f" coordsize="21600,21600">
            <v:path/>
            <v:fill on="f" focussize="0,0"/>
            <v:stroke on="f"/>
            <v:imagedata r:id="rId7" o:title=""/>
            <o:lock v:ext="edit" aspectratio="t"/>
          </v:shape>
          <o:OLEObject Type="Embed" ProgID="Excel.Chart.8" ShapeID="Object 2" DrawAspect="Content" ObjectID="_1468075725" r:id="rId6">
            <o:LockedField>false</o:LockedField>
          </o:OLEObject>
        </w:pict>
      </w:r>
    </w:p>
    <w:p>
      <w:pPr>
        <w:pStyle w:val="18"/>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17"/>
        <w:rPr>
          <w:rFonts w:hint="eastAsia"/>
        </w:rPr>
      </w:pPr>
    </w:p>
    <w:p>
      <w:pPr>
        <w:rPr>
          <w:rFonts w:hint="eastAsia"/>
        </w:rPr>
      </w:pPr>
    </w:p>
    <w:p>
      <w:pPr>
        <w:spacing w:line="600" w:lineRule="exact"/>
        <w:rPr>
          <w:rFonts w:hint="eastAsia" w:ascii="仿宋" w:hAnsi="仿宋" w:eastAsia="仿宋"/>
          <w:color w:val="auto"/>
          <w:sz w:val="32"/>
          <w:szCs w:val="32"/>
          <w:highlight w:val="none"/>
        </w:rPr>
      </w:pP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w:t>
      </w:r>
    </w:p>
    <w:p>
      <w:pPr>
        <w:pStyle w:val="26"/>
        <w:numPr>
          <w:ilvl w:val="0"/>
          <w:numId w:val="0"/>
        </w:numPr>
        <w:spacing w:line="600" w:lineRule="exact"/>
        <w:ind w:firstLine="640" w:firstLineChars="200"/>
        <w:outlineLvl w:val="1"/>
        <w:rPr>
          <w:rStyle w:val="28"/>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0"/>
      <w:bookmarkEnd w:id="21"/>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年本年收入合计13658</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万元，其中：一般公共预算财政拨款收入179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1.317</w:t>
      </w:r>
      <w:r>
        <w:rPr>
          <w:rFonts w:hint="eastAsia" w:ascii="仿宋_GB2312" w:hAnsi="仿宋_GB2312" w:eastAsia="仿宋_GB2312" w:cs="仿宋_GB2312"/>
          <w:sz w:val="32"/>
          <w:szCs w:val="32"/>
        </w:rPr>
        <w:t>%；政府性基金预算财政拨款收入13478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06万元，占</w:t>
      </w:r>
      <w:r>
        <w:rPr>
          <w:rFonts w:hint="eastAsia" w:ascii="仿宋_GB2312" w:hAnsi="仿宋_GB2312" w:eastAsia="仿宋_GB2312" w:cs="仿宋_GB2312"/>
          <w:sz w:val="32"/>
          <w:szCs w:val="32"/>
          <w:lang w:val="en-US" w:eastAsia="zh-CN"/>
        </w:rPr>
        <w:t>98.681</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0.002</w:t>
      </w:r>
      <w:r>
        <w:rPr>
          <w:rFonts w:hint="eastAsia" w:ascii="仿宋_GB2312" w:hAnsi="仿宋_GB2312" w:eastAsia="仿宋_GB2312" w:cs="仿宋_GB2312"/>
          <w:sz w:val="32"/>
          <w:szCs w:val="32"/>
        </w:rPr>
        <w:t>%。</w:t>
      </w:r>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_GB2312" w:eastAsia="仿宋_GB2312"/>
          <w:color w:val="FF0000"/>
          <w:sz w:val="32"/>
          <w:szCs w:val="32"/>
          <w:lang w:eastAsia="zh-CN"/>
        </w:rPr>
        <w:pict>
          <v:shape id="Object 4" o:spid="_x0000_s1028" o:spt="75" type="#_x0000_t75" style="position:absolute;left:0pt;margin-left:22.2pt;margin-top:5.6pt;height:207.55pt;width:369pt;z-index:251661312;mso-width-relative:page;mso-height-relative:page;" o:ole="t" filled="f" o:preferrelative="t" stroked="f" coordsize="21600,21600">
            <v:path/>
            <v:fill on="f" focussize="0,0"/>
            <v:stroke on="f"/>
            <v:imagedata r:id="rId9" o:title=""/>
            <o:lock v:ext="edit" aspectratio="t"/>
          </v:shape>
          <o:OLEObject Type="Embed" ProgID="Excel.Chart.8" ShapeID="Object 4" DrawAspect="Content" ObjectID="_1468075726" r:id="rId8">
            <o:LockedField>false</o:LockedField>
          </o:OLEObject>
        </w:pict>
      </w:r>
    </w:p>
    <w:p>
      <w:pPr>
        <w:pStyle w:val="17"/>
        <w:rPr>
          <w:rFonts w:hint="eastAsia" w:ascii="仿宋" w:hAnsi="仿宋" w:eastAsia="仿宋"/>
          <w:color w:val="auto"/>
          <w:sz w:val="32"/>
          <w:szCs w:val="32"/>
          <w:highlight w:val="none"/>
        </w:rPr>
      </w:pPr>
    </w:p>
    <w:p>
      <w:pPr>
        <w:pStyle w:val="18"/>
        <w:rPr>
          <w:rFonts w:hint="eastAsia"/>
        </w:rPr>
      </w:pPr>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ind w:firstLine="640" w:firstLineChars="200"/>
        <w:outlineLvl w:val="1"/>
        <w:rPr>
          <w:rFonts w:hint="eastAsia" w:ascii="仿宋" w:hAnsi="仿宋" w:eastAsia="仿宋"/>
          <w:color w:val="auto"/>
          <w:sz w:val="32"/>
          <w:szCs w:val="32"/>
          <w:highlight w:val="none"/>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pPr>
        <w:pStyle w:val="26"/>
        <w:numPr>
          <w:ilvl w:val="0"/>
          <w:numId w:val="0"/>
        </w:numPr>
        <w:spacing w:line="600" w:lineRule="exact"/>
        <w:ind w:left="640" w:leftChars="0"/>
        <w:outlineLvl w:val="1"/>
        <w:rPr>
          <w:rStyle w:val="28"/>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2"/>
      <w:bookmarkEnd w:id="23"/>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年本年支出合计14715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万元，其中：基本支出175</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%；项目支出14540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37万元，占</w:t>
      </w:r>
      <w:r>
        <w:rPr>
          <w:rFonts w:hint="eastAsia" w:ascii="仿宋_GB2312" w:hAnsi="仿宋_GB2312" w:eastAsia="仿宋_GB2312" w:cs="仿宋_GB2312"/>
          <w:sz w:val="32"/>
          <w:szCs w:val="32"/>
          <w:lang w:val="en-US" w:eastAsia="zh-CN"/>
        </w:rPr>
        <w:t>98.81</w:t>
      </w:r>
      <w:r>
        <w:rPr>
          <w:rFonts w:hint="eastAsia" w:ascii="仿宋_GB2312" w:hAnsi="仿宋_GB2312" w:eastAsia="仿宋_GB2312" w:cs="仿宋_GB2312"/>
          <w:sz w:val="32"/>
          <w:szCs w:val="32"/>
        </w:rPr>
        <w:t>%。</w:t>
      </w:r>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sz w:val="32"/>
          <w:szCs w:val="32"/>
          <w:lang w:eastAsia="zh-CN"/>
        </w:rPr>
        <w:pict>
          <v:shape id="Object 3" o:spid="_x0000_s1027" o:spt="75" type="#_x0000_t75" style="position:absolute;left:0pt;margin-left:17.25pt;margin-top:1.95pt;height:205.55pt;width:363.55pt;z-index:251660288;mso-width-relative:page;mso-height-relative:page;" o:ole="t" filled="f" o:preferrelative="t" stroked="f" coordsize="21600,21600">
            <v:path/>
            <v:fill on="f" focussize="0,0"/>
            <v:stroke on="f"/>
            <v:imagedata r:id="rId11" o:title=""/>
            <o:lock v:ext="edit" aspectratio="t"/>
          </v:shape>
          <o:OLEObject Type="Embed" ProgID="Excel.Chart.8" ShapeID="Object 3" DrawAspect="Content" ObjectID="_1468075727" r:id="rId10">
            <o:LockedField>false</o:LockedField>
          </o:OLEObject>
        </w:pict>
      </w:r>
    </w:p>
    <w:p>
      <w:pPr>
        <w:pStyle w:val="17"/>
        <w:rPr>
          <w:rFonts w:ascii="仿宋" w:hAnsi="仿宋" w:eastAsia="仿宋"/>
          <w:color w:val="auto"/>
          <w:sz w:val="32"/>
          <w:szCs w:val="32"/>
          <w:highlight w:val="none"/>
          <w:shd w:val="pct10" w:color="auto" w:fill="FFFFFF"/>
        </w:rPr>
      </w:pPr>
    </w:p>
    <w:p>
      <w:pPr>
        <w:pStyle w:val="18"/>
        <w:rPr>
          <w:rFonts w:hint="eastAsia" w:ascii="仿宋" w:hAnsi="仿宋" w:eastAsia="仿宋"/>
          <w:color w:val="auto"/>
          <w:sz w:val="32"/>
          <w:szCs w:val="32"/>
          <w:highlight w:val="none"/>
        </w:rPr>
      </w:pPr>
    </w:p>
    <w:p>
      <w:pPr>
        <w:pStyle w:val="18"/>
        <w:rPr>
          <w:rFonts w:hint="eastAsia" w:ascii="仿宋" w:hAnsi="仿宋" w:eastAsia="仿宋"/>
          <w:color w:val="auto"/>
          <w:sz w:val="32"/>
          <w:szCs w:val="32"/>
          <w:highlight w:val="none"/>
        </w:rPr>
      </w:pPr>
    </w:p>
    <w:p>
      <w:pPr>
        <w:pStyle w:val="18"/>
        <w:rPr>
          <w:rFonts w:hint="eastAsia" w:ascii="仿宋" w:hAnsi="仿宋" w:eastAsia="仿宋"/>
          <w:color w:val="auto"/>
          <w:sz w:val="32"/>
          <w:szCs w:val="32"/>
          <w:highlight w:val="none"/>
        </w:rPr>
      </w:pPr>
    </w:p>
    <w:p>
      <w:pPr>
        <w:pStyle w:val="18"/>
        <w:rPr>
          <w:rFonts w:hint="eastAsia" w:ascii="仿宋" w:hAnsi="仿宋" w:eastAsia="仿宋"/>
          <w:color w:val="auto"/>
          <w:sz w:val="32"/>
          <w:szCs w:val="32"/>
          <w:highlight w:val="none"/>
        </w:rPr>
      </w:pPr>
    </w:p>
    <w:p>
      <w:pPr>
        <w:pStyle w:val="18"/>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（图3：支出决算结构图）</w:t>
      </w:r>
    </w:p>
    <w:p>
      <w:pPr>
        <w:spacing w:line="600" w:lineRule="exact"/>
        <w:ind w:firstLine="640" w:firstLineChars="200"/>
        <w:outlineLvl w:val="1"/>
        <w:rPr>
          <w:rStyle w:val="28"/>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rPr>
      </w:pPr>
      <w:r>
        <w:rPr>
          <w:rFonts w:hint="eastAsia" w:ascii="仿宋_GB2312" w:hAnsi="仿宋_GB2312" w:eastAsia="仿宋_GB2312" w:cs="仿宋_GB2312"/>
          <w:color w:val="auto"/>
          <w:kern w:val="2"/>
          <w:sz w:val="32"/>
          <w:szCs w:val="32"/>
          <w:lang w:val="en-US" w:eastAsia="zh-CN" w:bidi="ar-SA"/>
        </w:rPr>
        <w:t>2021年财政拨款收、支总计14715.74万元。与2020年相比，财政拨款收、支总计各减少14472.06万元，下降49.58%。主要变动原因是政府性基金预算财政拨款收支比上年度有所减少。</w:t>
      </w:r>
    </w:p>
    <w:p>
      <w:pPr>
        <w:spacing w:line="600" w:lineRule="exact"/>
        <w:ind w:firstLine="640"/>
        <w:rPr>
          <w:rFonts w:hint="eastAsia" w:ascii="仿宋_GB2312" w:hAnsi="仿宋_GB2312" w:eastAsia="仿宋_GB2312" w:cs="仿宋_GB2312"/>
          <w:color w:val="auto"/>
          <w:kern w:val="2"/>
          <w:sz w:val="32"/>
          <w:szCs w:val="32"/>
          <w:lang w:val="en-US" w:eastAsia="zh-CN" w:bidi="ar-SA"/>
        </w:rPr>
      </w:pPr>
    </w:p>
    <w:p>
      <w:pPr>
        <w:spacing w:line="600" w:lineRule="exact"/>
        <w:ind w:firstLine="640"/>
        <w:rPr>
          <w:rFonts w:hint="eastAsia" w:ascii="仿宋_GB2312" w:hAnsi="仿宋_GB2312" w:eastAsia="仿宋_GB2312" w:cs="仿宋_GB2312"/>
          <w:color w:val="auto"/>
          <w:kern w:val="2"/>
          <w:sz w:val="32"/>
          <w:szCs w:val="32"/>
          <w:lang w:val="en-US" w:eastAsia="zh-CN" w:bidi="ar-SA"/>
        </w:rPr>
      </w:pPr>
    </w:p>
    <w:p>
      <w:pPr>
        <w:spacing w:line="600" w:lineRule="exact"/>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drawing>
          <wp:anchor distT="0" distB="0" distL="114300" distR="114300" simplePos="0" relativeHeight="251662336" behindDoc="0" locked="0" layoutInCell="1" allowOverlap="1">
            <wp:simplePos x="0" y="0"/>
            <wp:positionH relativeFrom="column">
              <wp:posOffset>365760</wp:posOffset>
            </wp:positionH>
            <wp:positionV relativeFrom="page">
              <wp:posOffset>1133475</wp:posOffset>
            </wp:positionV>
            <wp:extent cx="4430395" cy="2528570"/>
            <wp:effectExtent l="4445" t="4445" r="22860" b="1968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p>
    <w:p>
      <w:pPr>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p>
    <w:p>
      <w:pPr>
        <w:spacing w:line="600" w:lineRule="exact"/>
        <w:rPr>
          <w:rFonts w:hint="eastAsia" w:ascii="仿宋_GB2312" w:hAnsi="仿宋_GB2312" w:eastAsia="仿宋_GB2312" w:cs="仿宋_GB2312"/>
          <w:color w:val="auto"/>
          <w:kern w:val="2"/>
          <w:sz w:val="32"/>
          <w:szCs w:val="32"/>
          <w:lang w:val="en-US" w:eastAsia="zh-CN" w:bidi="ar-SA"/>
        </w:rPr>
      </w:pPr>
    </w:p>
    <w:p>
      <w:pPr>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6"/>
      <w:bookmarkEnd w:id="27"/>
    </w:p>
    <w:p>
      <w:pPr>
        <w:spacing w:line="600" w:lineRule="exact"/>
        <w:ind w:firstLine="640"/>
        <w:rPr>
          <w:rFonts w:hint="eastAsia" w:ascii="仿宋_GB2312" w:hAnsi="仿宋_GB2312" w:eastAsia="仿宋_GB2312" w:cs="仿宋_GB2312"/>
          <w:b/>
          <w:bCs/>
          <w:color w:val="auto"/>
          <w:kern w:val="2"/>
          <w:sz w:val="32"/>
          <w:szCs w:val="32"/>
          <w:lang w:val="en-US" w:eastAsia="zh-CN" w:bidi="ar-SA"/>
        </w:rPr>
      </w:pPr>
      <w:bookmarkStart w:id="28" w:name="_Toc15377210"/>
      <w:r>
        <w:rPr>
          <w:rFonts w:hint="eastAsia" w:ascii="仿宋_GB2312" w:hAnsi="仿宋_GB2312" w:eastAsia="仿宋_GB2312" w:cs="仿宋_GB2312"/>
          <w:b/>
          <w:bCs/>
          <w:color w:val="auto"/>
          <w:kern w:val="2"/>
          <w:sz w:val="32"/>
          <w:szCs w:val="32"/>
          <w:lang w:val="en-US" w:eastAsia="zh-CN" w:bidi="ar-SA"/>
        </w:rPr>
        <w:t>（一）一般公共预算财政拨款支出决算总体情况</w:t>
      </w:r>
      <w:bookmarkEnd w:id="28"/>
    </w:p>
    <w:p>
      <w:pPr>
        <w:spacing w:line="60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2021年一般公共预算财政拨款支出179.9万元，占本年支出合计的1.22%。与2020年相比，一般公共预算财政拨款支出减少3.19万元，下降1.74%。主要变动原因是人员变动，人员经费减少。</w:t>
      </w:r>
    </w:p>
    <w:p>
      <w:pPr>
        <w:pStyle w:val="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drawing>
          <wp:anchor distT="0" distB="0" distL="114300" distR="114300" simplePos="0" relativeHeight="251663360" behindDoc="0" locked="0" layoutInCell="1" allowOverlap="1">
            <wp:simplePos x="0" y="0"/>
            <wp:positionH relativeFrom="column">
              <wp:posOffset>440055</wp:posOffset>
            </wp:positionH>
            <wp:positionV relativeFrom="page">
              <wp:posOffset>6546850</wp:posOffset>
            </wp:positionV>
            <wp:extent cx="4794885" cy="2815590"/>
            <wp:effectExtent l="4445" t="4445" r="20320" b="1841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color w:val="auto"/>
          <w:kern w:val="2"/>
          <w:sz w:val="32"/>
          <w:szCs w:val="32"/>
          <w:lang w:val="en-US" w:eastAsia="zh-CN" w:bidi="ar-SA"/>
        </w:rPr>
      </w:pPr>
    </w:p>
    <w:p>
      <w:pPr>
        <w:spacing w:line="60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（图5：一般公共预算财政拨款支出决算变动情况）</w:t>
      </w:r>
    </w:p>
    <w:p>
      <w:pPr>
        <w:spacing w:line="600" w:lineRule="exact"/>
        <w:ind w:firstLine="640"/>
        <w:rPr>
          <w:rFonts w:hint="eastAsia" w:ascii="仿宋_GB2312" w:hAnsi="仿宋_GB2312" w:eastAsia="仿宋_GB2312" w:cs="仿宋_GB2312"/>
          <w:b/>
          <w:bCs/>
          <w:color w:val="auto"/>
          <w:kern w:val="2"/>
          <w:sz w:val="32"/>
          <w:szCs w:val="32"/>
          <w:lang w:val="en-US" w:eastAsia="zh-CN" w:bidi="ar-SA"/>
        </w:rPr>
      </w:pPr>
      <w:bookmarkStart w:id="29" w:name="_Toc15377211"/>
      <w:r>
        <w:rPr>
          <w:rFonts w:hint="eastAsia" w:ascii="仿宋_GB2312" w:hAnsi="仿宋_GB2312" w:eastAsia="仿宋_GB2312" w:cs="仿宋_GB2312"/>
          <w:b/>
          <w:bCs/>
          <w:color w:val="auto"/>
          <w:kern w:val="2"/>
          <w:sz w:val="32"/>
          <w:szCs w:val="32"/>
          <w:lang w:val="en-US" w:eastAsia="zh-CN" w:bidi="ar-SA"/>
        </w:rPr>
        <w:t>（二）一般公共预算财政拨款支出决算结构情况</w:t>
      </w:r>
      <w:bookmarkEnd w:id="29"/>
    </w:p>
    <w:p>
      <w:pPr>
        <w:spacing w:line="60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2021年一般公共预算财政拨款支出179.9万元，主要用于以下方面:</w:t>
      </w:r>
      <w:r>
        <w:rPr>
          <w:rFonts w:hint="eastAsia" w:ascii="仿宋_GB2312" w:hAnsi="仿宋_GB2312" w:eastAsia="仿宋_GB2312" w:cs="仿宋_GB2312"/>
          <w:b/>
          <w:bCs/>
          <w:color w:val="auto"/>
          <w:kern w:val="2"/>
          <w:sz w:val="32"/>
          <w:szCs w:val="32"/>
          <w:lang w:val="en-US" w:eastAsia="zh-CN" w:bidi="ar-SA"/>
        </w:rPr>
        <w:t>社会保障和就业（类）</w:t>
      </w:r>
      <w:r>
        <w:rPr>
          <w:rFonts w:hint="eastAsia" w:ascii="仿宋_GB2312" w:hAnsi="仿宋_GB2312" w:eastAsia="仿宋_GB2312" w:cs="仿宋_GB2312"/>
          <w:color w:val="auto"/>
          <w:kern w:val="2"/>
          <w:sz w:val="32"/>
          <w:szCs w:val="32"/>
          <w:lang w:val="en-US" w:eastAsia="zh-CN" w:bidi="ar-SA"/>
        </w:rPr>
        <w:t>支出13.58万元，占7.55%；</w:t>
      </w:r>
      <w:r>
        <w:rPr>
          <w:rFonts w:hint="eastAsia" w:ascii="仿宋_GB2312" w:hAnsi="仿宋_GB2312" w:eastAsia="仿宋_GB2312" w:cs="仿宋_GB2312"/>
          <w:b/>
          <w:bCs/>
          <w:color w:val="auto"/>
          <w:kern w:val="2"/>
          <w:sz w:val="32"/>
          <w:szCs w:val="32"/>
          <w:lang w:val="en-US" w:eastAsia="zh-CN" w:bidi="ar-SA"/>
        </w:rPr>
        <w:t>卫生健康（类）</w:t>
      </w:r>
      <w:r>
        <w:rPr>
          <w:rFonts w:hint="eastAsia" w:ascii="仿宋_GB2312" w:hAnsi="仿宋_GB2312" w:eastAsia="仿宋_GB2312" w:cs="仿宋_GB2312"/>
          <w:color w:val="auto"/>
          <w:kern w:val="2"/>
          <w:sz w:val="32"/>
          <w:szCs w:val="32"/>
          <w:lang w:val="en-US" w:eastAsia="zh-CN" w:bidi="ar-SA"/>
        </w:rPr>
        <w:t>支出7.68万元，占4.27%；</w:t>
      </w:r>
      <w:r>
        <w:rPr>
          <w:rFonts w:hint="eastAsia" w:ascii="仿宋_GB2312" w:hAnsi="仿宋_GB2312" w:eastAsia="仿宋_GB2312" w:cs="仿宋_GB2312"/>
          <w:b/>
          <w:bCs/>
          <w:i w:val="0"/>
          <w:iCs w:val="0"/>
          <w:color w:val="auto"/>
          <w:kern w:val="2"/>
          <w:sz w:val="32"/>
          <w:szCs w:val="32"/>
          <w:lang w:val="en-US" w:eastAsia="zh-CN" w:bidi="ar-SA"/>
        </w:rPr>
        <w:t>自然资源海洋气象等（类）</w:t>
      </w:r>
      <w:r>
        <w:rPr>
          <w:rFonts w:hint="eastAsia" w:ascii="仿宋_GB2312" w:hAnsi="仿宋_GB2312" w:eastAsia="仿宋_GB2312" w:cs="仿宋_GB2312"/>
          <w:color w:val="auto"/>
          <w:kern w:val="2"/>
          <w:sz w:val="32"/>
          <w:szCs w:val="32"/>
          <w:lang w:val="en-US" w:eastAsia="zh-CN" w:bidi="ar-SA"/>
        </w:rPr>
        <w:t>支出142.7万元，占79.32%；</w:t>
      </w:r>
      <w:r>
        <w:rPr>
          <w:rFonts w:hint="eastAsia" w:ascii="仿宋_GB2312" w:hAnsi="仿宋_GB2312" w:eastAsia="仿宋_GB2312" w:cs="仿宋_GB2312"/>
          <w:b/>
          <w:bCs/>
          <w:color w:val="auto"/>
          <w:kern w:val="2"/>
          <w:sz w:val="32"/>
          <w:szCs w:val="32"/>
          <w:lang w:val="en-US" w:eastAsia="zh-CN" w:bidi="ar-SA"/>
        </w:rPr>
        <w:t>住房保障（类）</w:t>
      </w:r>
      <w:r>
        <w:rPr>
          <w:rFonts w:hint="eastAsia" w:ascii="仿宋_GB2312" w:hAnsi="仿宋_GB2312" w:eastAsia="仿宋_GB2312" w:cs="仿宋_GB2312"/>
          <w:color w:val="auto"/>
          <w:kern w:val="2"/>
          <w:sz w:val="32"/>
          <w:szCs w:val="32"/>
          <w:lang w:val="en-US" w:eastAsia="zh-CN" w:bidi="ar-SA"/>
        </w:rPr>
        <w:t>支出15.94万元，占8.86%。</w:t>
      </w:r>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lang w:eastAsia="zh-CN"/>
        </w:rPr>
        <w:pict>
          <v:shape id="_x0000_s1029" o:spid="_x0000_s1029" o:spt="75" type="#_x0000_t75" style="position:absolute;left:0pt;margin-left:34.25pt;margin-top:3.25pt;height:248.2pt;width:382.85pt;z-index:251664384;mso-width-relative:page;mso-height-relative:page;" o:ole="t" filled="f" o:preferrelative="t" stroked="f" coordsize="21600,21600">
            <v:path/>
            <v:fill on="f" focussize="0,0"/>
            <v:stroke on="f"/>
            <v:imagedata r:id="rId15" o:title=""/>
            <o:lock v:ext="edit" aspectratio="t"/>
          </v:shape>
          <o:OLEObject Type="Embed" ProgID="Excel.Chart.8" ShapeID="_x0000_s1029" DrawAspect="Content" ObjectID="_1468075728" r:id="rId14">
            <o:LockedField>false</o:LockedField>
          </o:OLEObject>
        </w:pict>
      </w:r>
    </w:p>
    <w:p>
      <w:pPr>
        <w:pStyle w:val="17"/>
        <w:rPr>
          <w:rFonts w:ascii="仿宋" w:hAnsi="仿宋" w:eastAsia="仿宋"/>
          <w:color w:val="auto"/>
          <w:sz w:val="32"/>
          <w:szCs w:val="32"/>
          <w:highlight w:val="none"/>
        </w:rPr>
      </w:pPr>
    </w:p>
    <w:p>
      <w:pPr>
        <w:pStyle w:val="18"/>
        <w:rPr>
          <w:rFonts w:ascii="仿宋" w:hAnsi="仿宋" w:eastAsia="仿宋"/>
          <w:color w:val="auto"/>
          <w:sz w:val="32"/>
          <w:szCs w:val="32"/>
          <w:highlight w:val="none"/>
        </w:rPr>
      </w:pPr>
    </w:p>
    <w:p/>
    <w:p>
      <w:pPr>
        <w:pStyle w:val="17"/>
        <w:rPr>
          <w:rFonts w:ascii="仿宋" w:hAnsi="仿宋" w:eastAsia="仿宋"/>
          <w:color w:val="auto"/>
          <w:sz w:val="32"/>
          <w:szCs w:val="32"/>
          <w:highlight w:val="none"/>
        </w:rPr>
      </w:pPr>
    </w:p>
    <w:p>
      <w:pPr>
        <w:pStyle w:val="18"/>
      </w:pPr>
    </w:p>
    <w:p>
      <w:pPr>
        <w:pStyle w:val="18"/>
        <w:rPr>
          <w:rFonts w:ascii="仿宋" w:hAnsi="仿宋" w:eastAsia="仿宋"/>
          <w:color w:val="auto"/>
          <w:sz w:val="32"/>
          <w:szCs w:val="32"/>
          <w:highlight w:val="none"/>
        </w:rPr>
      </w:pPr>
    </w:p>
    <w:p>
      <w:pPr>
        <w:spacing w:line="600" w:lineRule="exact"/>
        <w:rPr>
          <w:rFonts w:hint="eastAsia" w:ascii="仿宋_GB2312" w:hAnsi="仿宋_GB2312" w:eastAsia="仿宋_GB2312" w:cs="仿宋_GB2312"/>
          <w:color w:val="auto"/>
          <w:kern w:val="2"/>
          <w:sz w:val="32"/>
          <w:szCs w:val="32"/>
          <w:lang w:val="en-US" w:eastAsia="zh-CN" w:bidi="ar-SA"/>
        </w:rPr>
      </w:pPr>
    </w:p>
    <w:p>
      <w:pPr>
        <w:spacing w:line="600" w:lineRule="exact"/>
        <w:ind w:firstLine="640" w:firstLineChars="200"/>
        <w:rPr>
          <w:rFonts w:hint="eastAsia" w:ascii="仿宋" w:hAnsi="仿宋" w:eastAsia="仿宋"/>
          <w:b/>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（图6：一般公共预算财政拨款支出决算结构）</w:t>
      </w:r>
      <w:bookmarkStart w:id="30"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rPr>
          <w:rFonts w:hint="eastAsia" w:ascii="仿宋_GB2312" w:hAnsi="仿宋_GB2312" w:eastAsia="仿宋_GB2312" w:cs="仿宋_GB2312"/>
          <w:b/>
          <w:bCs/>
          <w:color w:val="auto"/>
          <w:kern w:val="2"/>
          <w:sz w:val="32"/>
          <w:szCs w:val="32"/>
          <w:lang w:val="en-US" w:eastAsia="zh-CN" w:bidi="ar-SA"/>
        </w:rPr>
      </w:pPr>
      <w:bookmarkStart w:id="31" w:name="_Toc15377444"/>
      <w:bookmarkStart w:id="32" w:name="_Toc15377213"/>
      <w:bookmarkStart w:id="33" w:name="_Toc15378460"/>
      <w:r>
        <w:rPr>
          <w:rFonts w:hint="eastAsia" w:ascii="仿宋_GB2312" w:hAnsi="仿宋_GB2312" w:eastAsia="仿宋_GB2312" w:cs="仿宋_GB2312"/>
          <w:b/>
          <w:bCs/>
          <w:color w:val="auto"/>
          <w:kern w:val="2"/>
          <w:sz w:val="32"/>
          <w:szCs w:val="32"/>
          <w:lang w:val="en-US" w:eastAsia="zh-CN" w:bidi="ar-SA"/>
        </w:rPr>
        <w:t>2021年一般公共预算支出决算数为179.9万元，完成预算100%。其中：</w:t>
      </w:r>
      <w:bookmarkEnd w:id="31"/>
      <w:bookmarkEnd w:id="32"/>
      <w:bookmarkEnd w:id="33"/>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1.社会保障和就业支出（类）行政事业单位养老支出（款）事业单位离退休（项）: </w:t>
      </w:r>
      <w:r>
        <w:rPr>
          <w:rFonts w:hint="eastAsia" w:ascii="仿宋_GB2312" w:hAnsi="仿宋_GB2312" w:eastAsia="仿宋_GB2312" w:cs="仿宋_GB2312"/>
          <w:b w:val="0"/>
          <w:bCs w:val="0"/>
          <w:color w:val="auto"/>
          <w:kern w:val="2"/>
          <w:sz w:val="32"/>
          <w:szCs w:val="32"/>
          <w:lang w:val="en-US" w:eastAsia="zh-CN" w:bidi="ar-SA"/>
        </w:rPr>
        <w:t>支出决算为0.11万元，完成预算100%，与预算数持平。</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2.社会保障和就业支出（类）行政事业单位养老支出（款） 机关事业单位基本养老保险缴费支出（项）</w:t>
      </w:r>
      <w:r>
        <w:rPr>
          <w:rFonts w:hint="eastAsia" w:ascii="仿宋_GB2312" w:hAnsi="仿宋_GB2312" w:eastAsia="仿宋_GB2312" w:cs="仿宋_GB2312"/>
          <w:b w:val="0"/>
          <w:bCs w:val="0"/>
          <w:color w:val="auto"/>
          <w:kern w:val="2"/>
          <w:sz w:val="32"/>
          <w:szCs w:val="32"/>
          <w:lang w:val="en-US" w:eastAsia="zh-CN" w:bidi="ar-SA"/>
        </w:rPr>
        <w:t>: 支出决算为13.47万元，完成预算100%，与预算数持平。</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3.卫生健康支出（类）行政事业单位医疗（款）事业单位医疗（项）</w:t>
      </w:r>
      <w:r>
        <w:rPr>
          <w:rFonts w:hint="eastAsia" w:ascii="仿宋_GB2312" w:hAnsi="仿宋_GB2312" w:eastAsia="仿宋_GB2312" w:cs="仿宋_GB2312"/>
          <w:b w:val="0"/>
          <w:bCs w:val="0"/>
          <w:color w:val="auto"/>
          <w:kern w:val="2"/>
          <w:sz w:val="32"/>
          <w:szCs w:val="32"/>
          <w:lang w:val="en-US" w:eastAsia="zh-CN" w:bidi="ar-SA"/>
        </w:rPr>
        <w:t>:支出决算为7.68万元，完成预算100%，与预算数持平。</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4.自然资源海洋气象等支出（类）自然资源事务（款）土地资源储备支出（项）</w:t>
      </w:r>
      <w:r>
        <w:rPr>
          <w:rFonts w:hint="eastAsia" w:ascii="仿宋_GB2312" w:hAnsi="仿宋_GB2312" w:eastAsia="仿宋_GB2312" w:cs="仿宋_GB2312"/>
          <w:b w:val="0"/>
          <w:bCs w:val="0"/>
          <w:color w:val="auto"/>
          <w:kern w:val="2"/>
          <w:sz w:val="32"/>
          <w:szCs w:val="32"/>
          <w:lang w:val="en-US" w:eastAsia="zh-CN" w:bidi="ar-SA"/>
        </w:rPr>
        <w:t>:支出决算为4.53万元，完成预算100%，与预算数持平。</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5.自然资源海洋气象等支出（类）自然资源事务（款）事业运行（项）</w:t>
      </w:r>
      <w:r>
        <w:rPr>
          <w:rFonts w:hint="eastAsia" w:ascii="仿宋_GB2312" w:hAnsi="仿宋_GB2312" w:eastAsia="仿宋_GB2312" w:cs="仿宋_GB2312"/>
          <w:b w:val="0"/>
          <w:bCs w:val="0"/>
          <w:color w:val="auto"/>
          <w:kern w:val="2"/>
          <w:sz w:val="32"/>
          <w:szCs w:val="32"/>
          <w:lang w:val="en-US" w:eastAsia="zh-CN" w:bidi="ar-SA"/>
        </w:rPr>
        <w:t>：支出决算为138.17万元，完成预算100%，与预算数持平。</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6.住房保障支出（类）住房改革支出（款）住房公积金（项）</w:t>
      </w:r>
      <w:r>
        <w:rPr>
          <w:rFonts w:hint="eastAsia" w:ascii="仿宋_GB2312" w:hAnsi="仿宋_GB2312" w:eastAsia="仿宋_GB2312" w:cs="仿宋_GB2312"/>
          <w:b w:val="0"/>
          <w:bCs w:val="0"/>
          <w:color w:val="auto"/>
          <w:kern w:val="2"/>
          <w:sz w:val="32"/>
          <w:szCs w:val="32"/>
          <w:lang w:val="en-US" w:eastAsia="zh-CN" w:bidi="ar-SA"/>
        </w:rPr>
        <w:t>:支出决算为15.94万元，完成预算100%，与预算数持平。</w:t>
      </w:r>
    </w:p>
    <w:p>
      <w:pPr>
        <w:tabs>
          <w:tab w:val="right" w:pos="8306"/>
        </w:tabs>
        <w:spacing w:line="600" w:lineRule="exact"/>
        <w:ind w:firstLine="640"/>
        <w:outlineLvl w:val="1"/>
        <w:rPr>
          <w:rStyle w:val="28"/>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4"/>
      <w:bookmarkEnd w:id="35"/>
      <w:r>
        <w:rPr>
          <w:rStyle w:val="28"/>
          <w:rFonts w:ascii="黑体" w:hAnsi="黑体" w:eastAsia="黑体"/>
          <w:b w:val="0"/>
          <w:color w:val="auto"/>
          <w:highlight w:val="none"/>
        </w:rPr>
        <w:tab/>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2021年一般公共预算财政拨款基本支出175.36万元，其中：</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人员经费152.76万元，主要包括：基本工资、津贴补贴、绩效工资、机关事业单位基本养老保险缴费、职工基本医疗保险缴费、其他社会保障缴费、住房公积金、其他工资福利支出、奖励金、其他对个人和家庭的补助等。</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　　公用经费22.6万元，主要包括：办公费、邮电费、物业管理费、差旅费、维修（护）费、培训费、劳务费、工会经费、福利费、其他交通费、其他商品和服务支出等。</w:t>
      </w:r>
    </w:p>
    <w:p>
      <w:pPr>
        <w:spacing w:line="600" w:lineRule="exact"/>
        <w:ind w:firstLine="640"/>
        <w:outlineLvl w:val="1"/>
        <w:rPr>
          <w:rStyle w:val="28"/>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6"/>
      <w:bookmarkEnd w:id="37"/>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bookmarkStart w:id="38" w:name="_Toc15377216"/>
      <w:r>
        <w:rPr>
          <w:rFonts w:hint="eastAsia" w:ascii="仿宋_GB2312" w:hAnsi="仿宋_GB2312" w:eastAsia="仿宋_GB2312" w:cs="仿宋_GB2312"/>
          <w:b w:val="0"/>
          <w:bCs w:val="0"/>
          <w:color w:val="auto"/>
          <w:kern w:val="2"/>
          <w:sz w:val="32"/>
          <w:szCs w:val="32"/>
          <w:lang w:val="en-US" w:eastAsia="zh-CN" w:bidi="ar-SA"/>
        </w:rPr>
        <w:t>（一）“三公”经费财政拨款支出决算总体情况说明</w:t>
      </w:r>
      <w:bookmarkEnd w:id="38"/>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2021年“三公”经费财政拨款支出决算为0万元。</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bookmarkStart w:id="39" w:name="_Toc15377217"/>
      <w:r>
        <w:rPr>
          <w:rFonts w:hint="eastAsia" w:ascii="仿宋_GB2312" w:hAnsi="仿宋_GB2312" w:eastAsia="仿宋_GB2312" w:cs="仿宋_GB2312"/>
          <w:b w:val="0"/>
          <w:bCs w:val="0"/>
          <w:color w:val="auto"/>
          <w:kern w:val="2"/>
          <w:sz w:val="32"/>
          <w:szCs w:val="32"/>
          <w:lang w:val="en-US" w:eastAsia="zh-CN" w:bidi="ar-SA"/>
        </w:rPr>
        <w:t>（二）“三公”经费财政拨款支出决算具体情况说明</w:t>
      </w:r>
      <w:bookmarkEnd w:id="39"/>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2021年“三公”经费财政拨款支出决算中，因公出国（境）费支出决算0万元，占0%；公务用车购置及运行维护费支出决算0万元，占0%；公务接待费支出决算0万元，占0%。具体情况如下：</w:t>
      </w:r>
    </w:p>
    <w:p>
      <w:pPr>
        <w:pStyle w:val="2"/>
        <w:rPr>
          <w:rFonts w:hint="eastAsia"/>
          <w:lang w:val="en-US" w:eastAsia="zh-CN"/>
        </w:rPr>
      </w:pPr>
      <w:r>
        <w:rPr>
          <w:rFonts w:hint="eastAsia"/>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ascii="仿宋" w:hAnsi="仿宋" w:eastAsia="仿宋" w:cs="仿宋"/>
          <w:i w:val="0"/>
          <w:iCs w:val="0"/>
          <w:caps w:val="0"/>
          <w:color w:val="212529"/>
          <w:spacing w:val="0"/>
          <w:sz w:val="32"/>
          <w:szCs w:val="32"/>
          <w:shd w:val="clear" w:fill="FFFFFF"/>
        </w:rPr>
        <w:t>（图</w:t>
      </w:r>
      <w:r>
        <w:rPr>
          <w:rFonts w:hint="eastAsia" w:ascii="仿宋" w:hAnsi="仿宋" w:eastAsia="仿宋" w:cs="仿宋"/>
          <w:i w:val="0"/>
          <w:iCs w:val="0"/>
          <w:caps w:val="0"/>
          <w:color w:val="212529"/>
          <w:spacing w:val="0"/>
          <w:sz w:val="32"/>
          <w:szCs w:val="32"/>
          <w:shd w:val="clear" w:fill="FFFFFF"/>
        </w:rPr>
        <w:t>7：“三公”经费财政拨款支出结构）</w:t>
      </w:r>
      <w:bookmarkStart w:id="67" w:name="_GoBack"/>
      <w:bookmarkEnd w:id="67"/>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212529"/>
          <w:spacing w:val="0"/>
          <w:sz w:val="32"/>
          <w:szCs w:val="32"/>
          <w:shd w:val="clear" w:fill="FFFFFF"/>
        </w:rPr>
      </w:pPr>
      <w:bookmarkStart w:id="40" w:name="_Toc15396610"/>
      <w:bookmarkStart w:id="41" w:name="_Toc15377218"/>
      <w:r>
        <w:rPr>
          <w:rFonts w:ascii="仿宋" w:hAnsi="仿宋" w:eastAsia="仿宋" w:cs="仿宋"/>
          <w:b/>
          <w:bCs/>
          <w:i w:val="0"/>
          <w:iCs w:val="0"/>
          <w:caps w:val="0"/>
          <w:color w:val="212529"/>
          <w:spacing w:val="0"/>
          <w:sz w:val="32"/>
          <w:szCs w:val="32"/>
          <w:shd w:val="clear" w:fill="FFFFFF"/>
        </w:rPr>
        <w:t>1.</w:t>
      </w:r>
      <w:r>
        <w:rPr>
          <w:rFonts w:hint="eastAsia" w:ascii="仿宋" w:hAnsi="仿宋" w:eastAsia="仿宋" w:cs="仿宋"/>
          <w:b/>
          <w:bCs/>
          <w:i w:val="0"/>
          <w:iCs w:val="0"/>
          <w:caps w:val="0"/>
          <w:color w:val="212529"/>
          <w:spacing w:val="0"/>
          <w:sz w:val="32"/>
          <w:szCs w:val="32"/>
          <w:shd w:val="clear" w:fill="FFFFFF"/>
        </w:rPr>
        <w:t> 因公出国（境）经费支出</w:t>
      </w:r>
      <w:r>
        <w:rPr>
          <w:rFonts w:hint="eastAsia" w:ascii="仿宋" w:hAnsi="仿宋" w:eastAsia="仿宋" w:cs="仿宋"/>
          <w:i w:val="0"/>
          <w:iCs w:val="0"/>
          <w:caps w:val="0"/>
          <w:color w:val="212529"/>
          <w:spacing w:val="0"/>
          <w:sz w:val="32"/>
          <w:szCs w:val="32"/>
          <w:shd w:val="clear" w:fill="FFFFFF"/>
        </w:rPr>
        <w:t>0万元，</w:t>
      </w:r>
      <w:r>
        <w:rPr>
          <w:rStyle w:val="15"/>
          <w:rFonts w:hint="eastAsia" w:ascii="仿宋" w:hAnsi="仿宋" w:eastAsia="仿宋" w:cs="仿宋"/>
          <w:b/>
          <w:bCs/>
          <w:i w:val="0"/>
          <w:iCs w:val="0"/>
          <w:caps w:val="0"/>
          <w:color w:val="212529"/>
          <w:spacing w:val="0"/>
          <w:sz w:val="32"/>
          <w:szCs w:val="32"/>
          <w:shd w:val="clear" w:fill="FFFFFF"/>
        </w:rPr>
        <w:t>完成预算0%。</w:t>
      </w:r>
      <w:r>
        <w:rPr>
          <w:rFonts w:hint="eastAsia" w:ascii="仿宋" w:hAnsi="仿宋" w:eastAsia="仿宋" w:cs="仿宋"/>
          <w:i w:val="0"/>
          <w:iCs w:val="0"/>
          <w:caps w:val="0"/>
          <w:color w:val="212529"/>
          <w:spacing w:val="0"/>
          <w:sz w:val="32"/>
          <w:szCs w:val="32"/>
          <w:shd w:val="clear" w:fill="FFFFFF"/>
        </w:rPr>
        <w:t>全年安排因公出国（境）团组0次，出国（境）0人。</w:t>
      </w:r>
      <w:r>
        <w:rPr>
          <w:rFonts w:ascii="仿宋" w:hAnsi="仿宋" w:eastAsia="仿宋" w:cs="仿宋"/>
          <w:i w:val="0"/>
          <w:iCs w:val="0"/>
          <w:caps w:val="0"/>
          <w:color w:val="212529"/>
          <w:spacing w:val="0"/>
          <w:sz w:val="32"/>
          <w:szCs w:val="32"/>
          <w:shd w:val="clear" w:fill="FFFFFF"/>
        </w:rPr>
        <w:t>因公出国（境）</w:t>
      </w:r>
      <w:r>
        <w:rPr>
          <w:rFonts w:hint="eastAsia" w:ascii="仿宋" w:hAnsi="仿宋" w:eastAsia="仿宋" w:cs="仿宋"/>
          <w:i w:val="0"/>
          <w:iCs w:val="0"/>
          <w:caps w:val="0"/>
          <w:color w:val="212529"/>
          <w:spacing w:val="0"/>
          <w:sz w:val="32"/>
          <w:szCs w:val="32"/>
          <w:shd w:val="clear" w:fill="FFFFFF"/>
        </w:rPr>
        <w:t>2021年无预算安排。</w:t>
      </w: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12529"/>
          <w:spacing w:val="0"/>
          <w:sz w:val="21"/>
          <w:szCs w:val="21"/>
        </w:rPr>
      </w:pPr>
      <w:r>
        <w:rPr>
          <w:rFonts w:hint="eastAsia" w:ascii="仿宋" w:hAnsi="仿宋" w:eastAsia="仿宋" w:cs="仿宋"/>
          <w:b/>
          <w:bCs/>
          <w:i w:val="0"/>
          <w:iCs w:val="0"/>
          <w:caps w:val="0"/>
          <w:color w:val="212529"/>
          <w:spacing w:val="0"/>
          <w:sz w:val="32"/>
          <w:szCs w:val="32"/>
          <w:shd w:val="clear" w:fill="FFFFFF"/>
        </w:rPr>
        <w:t>2.公务用车购置及运行维护费支出</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万元,</w:t>
      </w:r>
      <w:r>
        <w:rPr>
          <w:rStyle w:val="15"/>
          <w:rFonts w:hint="eastAsia" w:ascii="仿宋" w:hAnsi="仿宋" w:eastAsia="仿宋" w:cs="仿宋"/>
          <w:b/>
          <w:bCs/>
          <w:i w:val="0"/>
          <w:iCs w:val="0"/>
          <w:caps w:val="0"/>
          <w:color w:val="212529"/>
          <w:spacing w:val="0"/>
          <w:sz w:val="32"/>
          <w:szCs w:val="32"/>
          <w:shd w:val="clear" w:fill="FFFFFF"/>
        </w:rPr>
        <w:t>完成预算</w:t>
      </w:r>
      <w:r>
        <w:rPr>
          <w:rStyle w:val="15"/>
          <w:rFonts w:hint="eastAsia" w:ascii="仿宋" w:hAnsi="仿宋" w:eastAsia="仿宋" w:cs="仿宋"/>
          <w:b/>
          <w:bCs/>
          <w:i w:val="0"/>
          <w:iCs w:val="0"/>
          <w:caps w:val="0"/>
          <w:color w:val="212529"/>
          <w:spacing w:val="0"/>
          <w:sz w:val="32"/>
          <w:szCs w:val="32"/>
          <w:shd w:val="clear" w:fill="FFFFFF"/>
          <w:lang w:val="en-US" w:eastAsia="zh-CN"/>
        </w:rPr>
        <w:t>0</w:t>
      </w:r>
      <w:r>
        <w:rPr>
          <w:rStyle w:val="15"/>
          <w:rFonts w:hint="eastAsia" w:ascii="仿宋" w:hAnsi="仿宋" w:eastAsia="仿宋" w:cs="仿宋"/>
          <w:b/>
          <w:bCs/>
          <w:i w:val="0"/>
          <w:iCs w:val="0"/>
          <w:caps w:val="0"/>
          <w:color w:val="212529"/>
          <w:spacing w:val="0"/>
          <w:sz w:val="32"/>
          <w:szCs w:val="32"/>
          <w:shd w:val="clear" w:fill="FFFFFF"/>
        </w:rPr>
        <w:t>%。</w:t>
      </w:r>
      <w:r>
        <w:rPr>
          <w:rFonts w:hint="eastAsia" w:ascii="仿宋" w:hAnsi="仿宋" w:eastAsia="仿宋" w:cs="仿宋"/>
          <w:i w:val="0"/>
          <w:iCs w:val="0"/>
          <w:caps w:val="0"/>
          <w:color w:val="212529"/>
          <w:spacing w:val="0"/>
          <w:sz w:val="32"/>
          <w:szCs w:val="32"/>
          <w:shd w:val="clear" w:fill="FFFFFF"/>
        </w:rPr>
        <w:t>公务用车购置及运行维护费</w:t>
      </w:r>
      <w:r>
        <w:rPr>
          <w:rFonts w:hint="eastAsia" w:ascii="仿宋" w:hAnsi="仿宋" w:eastAsia="仿宋" w:cs="仿宋"/>
          <w:i w:val="0"/>
          <w:iCs w:val="0"/>
          <w:caps w:val="0"/>
          <w:color w:val="212529"/>
          <w:spacing w:val="0"/>
          <w:sz w:val="32"/>
          <w:szCs w:val="32"/>
          <w:shd w:val="clear" w:fill="FFFFFF"/>
          <w:lang w:val="en-US" w:eastAsia="zh-CN"/>
        </w:rPr>
        <w:t>支出</w:t>
      </w:r>
      <w:r>
        <w:rPr>
          <w:rFonts w:hint="eastAsia" w:ascii="仿宋" w:hAnsi="仿宋" w:eastAsia="仿宋" w:cs="仿宋"/>
          <w:i w:val="0"/>
          <w:iCs w:val="0"/>
          <w:caps w:val="0"/>
          <w:color w:val="212529"/>
          <w:spacing w:val="0"/>
          <w:sz w:val="32"/>
          <w:szCs w:val="32"/>
          <w:shd w:val="clear" w:fill="FFFFFF"/>
        </w:rPr>
        <w:t>2021年无预算安排</w:t>
      </w:r>
      <w:r>
        <w:rPr>
          <w:rFonts w:hint="eastAsia" w:ascii="仿宋" w:hAnsi="仿宋" w:eastAsia="仿宋" w:cs="仿宋"/>
          <w:i w:val="0"/>
          <w:iCs w:val="0"/>
          <w:caps w:val="0"/>
          <w:color w:val="212529"/>
          <w:spacing w:val="0"/>
          <w:sz w:val="32"/>
          <w:szCs w:val="32"/>
          <w:shd w:val="clear" w:fill="FFFFFF"/>
        </w:rPr>
        <w:t>。</w:t>
      </w: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12529"/>
          <w:spacing w:val="0"/>
          <w:sz w:val="21"/>
          <w:szCs w:val="21"/>
        </w:rPr>
      </w:pPr>
      <w:r>
        <w:rPr>
          <w:rFonts w:hint="eastAsia" w:ascii="仿宋" w:hAnsi="仿宋" w:eastAsia="仿宋" w:cs="仿宋"/>
          <w:i w:val="0"/>
          <w:iCs w:val="0"/>
          <w:caps w:val="0"/>
          <w:color w:val="212529"/>
          <w:spacing w:val="0"/>
          <w:sz w:val="32"/>
          <w:szCs w:val="32"/>
          <w:shd w:val="clear" w:fill="FFFFFF"/>
        </w:rPr>
        <w:t>其中：</w:t>
      </w:r>
      <w:r>
        <w:rPr>
          <w:rFonts w:hint="eastAsia" w:ascii="仿宋" w:hAnsi="仿宋" w:eastAsia="仿宋" w:cs="仿宋"/>
          <w:b/>
          <w:bCs/>
          <w:i w:val="0"/>
          <w:iCs w:val="0"/>
          <w:caps w:val="0"/>
          <w:color w:val="212529"/>
          <w:spacing w:val="0"/>
          <w:sz w:val="32"/>
          <w:szCs w:val="32"/>
          <w:shd w:val="clear" w:fill="FFFFFF"/>
        </w:rPr>
        <w:t>公务用车购置支出</w:t>
      </w:r>
      <w:r>
        <w:rPr>
          <w:rFonts w:hint="eastAsia" w:ascii="仿宋" w:hAnsi="仿宋" w:eastAsia="仿宋" w:cs="仿宋"/>
          <w:i w:val="0"/>
          <w:iCs w:val="0"/>
          <w:caps w:val="0"/>
          <w:color w:val="212529"/>
          <w:spacing w:val="0"/>
          <w:sz w:val="32"/>
          <w:szCs w:val="32"/>
          <w:shd w:val="clear" w:fill="FFFFFF"/>
        </w:rPr>
        <w:t>0万元。全年按规定更新购置公务用车0辆，其中：轿车0辆、金额0万元，越野车0辆、金额0万元，载客汽车0辆、金额0万元。截至2021年12月底，单位共有公务用车</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辆，其中：轿车</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辆、越野车</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辆、载客汽车0辆。</w:t>
      </w: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212529"/>
          <w:spacing w:val="0"/>
          <w:sz w:val="32"/>
          <w:szCs w:val="32"/>
          <w:shd w:val="clear" w:fill="FFFFFF"/>
        </w:rPr>
      </w:pPr>
      <w:r>
        <w:rPr>
          <w:rFonts w:hint="eastAsia" w:ascii="仿宋" w:hAnsi="仿宋" w:eastAsia="仿宋" w:cs="仿宋"/>
          <w:b/>
          <w:bCs/>
          <w:i w:val="0"/>
          <w:iCs w:val="0"/>
          <w:caps w:val="0"/>
          <w:color w:val="212529"/>
          <w:spacing w:val="0"/>
          <w:sz w:val="32"/>
          <w:szCs w:val="32"/>
          <w:shd w:val="clear" w:fill="FFFFFF"/>
        </w:rPr>
        <w:t>公务用车运行维护费支出</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万元。</w:t>
      </w: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12529"/>
          <w:spacing w:val="0"/>
          <w:sz w:val="21"/>
          <w:szCs w:val="21"/>
        </w:rPr>
      </w:pPr>
      <w:r>
        <w:rPr>
          <w:rFonts w:hint="eastAsia" w:ascii="仿宋" w:hAnsi="仿宋" w:eastAsia="仿宋" w:cs="仿宋"/>
          <w:b/>
          <w:bCs/>
          <w:i w:val="0"/>
          <w:iCs w:val="0"/>
          <w:caps w:val="0"/>
          <w:color w:val="212529"/>
          <w:spacing w:val="0"/>
          <w:sz w:val="32"/>
          <w:szCs w:val="32"/>
          <w:shd w:val="clear" w:fill="FFFFFF"/>
        </w:rPr>
        <w:t>3.公务接待费支出</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万元，</w:t>
      </w:r>
      <w:r>
        <w:rPr>
          <w:rStyle w:val="15"/>
          <w:rFonts w:hint="eastAsia" w:ascii="仿宋" w:hAnsi="仿宋" w:eastAsia="仿宋" w:cs="仿宋"/>
          <w:b/>
          <w:bCs/>
          <w:i w:val="0"/>
          <w:iCs w:val="0"/>
          <w:caps w:val="0"/>
          <w:color w:val="212529"/>
          <w:spacing w:val="0"/>
          <w:sz w:val="32"/>
          <w:szCs w:val="32"/>
          <w:shd w:val="clear" w:fill="FFFFFF"/>
        </w:rPr>
        <w:t>完成预算</w:t>
      </w:r>
      <w:r>
        <w:rPr>
          <w:rStyle w:val="15"/>
          <w:rFonts w:hint="eastAsia" w:ascii="仿宋" w:hAnsi="仿宋" w:eastAsia="仿宋" w:cs="仿宋"/>
          <w:b/>
          <w:bCs/>
          <w:i w:val="0"/>
          <w:iCs w:val="0"/>
          <w:caps w:val="0"/>
          <w:color w:val="212529"/>
          <w:spacing w:val="0"/>
          <w:sz w:val="32"/>
          <w:szCs w:val="32"/>
          <w:shd w:val="clear" w:fill="FFFFFF"/>
          <w:lang w:val="en-US" w:eastAsia="zh-CN"/>
        </w:rPr>
        <w:t>0</w:t>
      </w:r>
      <w:r>
        <w:rPr>
          <w:rStyle w:val="15"/>
          <w:rFonts w:hint="eastAsia" w:ascii="仿宋" w:hAnsi="仿宋" w:eastAsia="仿宋" w:cs="仿宋"/>
          <w:b/>
          <w:bCs/>
          <w:i w:val="0"/>
          <w:iCs w:val="0"/>
          <w:caps w:val="0"/>
          <w:color w:val="212529"/>
          <w:spacing w:val="0"/>
          <w:sz w:val="32"/>
          <w:szCs w:val="32"/>
          <w:shd w:val="clear" w:fill="FFFFFF"/>
        </w:rPr>
        <w:t>%。</w:t>
      </w:r>
      <w:r>
        <w:rPr>
          <w:rFonts w:hint="eastAsia" w:ascii="仿宋" w:hAnsi="仿宋" w:eastAsia="仿宋" w:cs="仿宋"/>
          <w:i w:val="0"/>
          <w:iCs w:val="0"/>
          <w:caps w:val="0"/>
          <w:color w:val="212529"/>
          <w:spacing w:val="0"/>
          <w:sz w:val="32"/>
          <w:szCs w:val="32"/>
          <w:shd w:val="clear" w:fill="FFFFFF"/>
        </w:rPr>
        <w:t>主要原因是</w:t>
      </w:r>
      <w:r>
        <w:rPr>
          <w:rFonts w:hint="eastAsia" w:ascii="仿宋" w:hAnsi="仿宋" w:eastAsia="仿宋" w:cs="仿宋"/>
          <w:i w:val="0"/>
          <w:iCs w:val="0"/>
          <w:caps w:val="0"/>
          <w:color w:val="212529"/>
          <w:spacing w:val="0"/>
          <w:sz w:val="32"/>
          <w:szCs w:val="32"/>
          <w:shd w:val="clear" w:fill="FFFFFF"/>
          <w:lang w:val="en-US" w:eastAsia="zh-CN"/>
        </w:rPr>
        <w:t>根据</w:t>
      </w:r>
      <w:r>
        <w:rPr>
          <w:rFonts w:hint="eastAsia" w:ascii="仿宋" w:hAnsi="仿宋" w:eastAsia="仿宋" w:cs="仿宋"/>
          <w:i w:val="0"/>
          <w:iCs w:val="0"/>
          <w:caps w:val="0"/>
          <w:color w:val="212529"/>
          <w:spacing w:val="0"/>
          <w:sz w:val="32"/>
          <w:szCs w:val="32"/>
          <w:shd w:val="clear" w:fill="FFFFFF"/>
          <w:lang w:val="en-US" w:eastAsia="zh-CN"/>
        </w:rPr>
        <w:t>2021年中心</w:t>
      </w:r>
      <w:r>
        <w:rPr>
          <w:rFonts w:hint="eastAsia" w:ascii="仿宋" w:hAnsi="仿宋" w:eastAsia="仿宋" w:cs="仿宋"/>
          <w:i w:val="0"/>
          <w:iCs w:val="0"/>
          <w:caps w:val="0"/>
          <w:color w:val="212529"/>
          <w:spacing w:val="0"/>
          <w:sz w:val="32"/>
          <w:szCs w:val="32"/>
          <w:shd w:val="clear" w:fill="FFFFFF"/>
          <w:lang w:val="en-US" w:eastAsia="zh-CN"/>
        </w:rPr>
        <w:t>工作安排</w:t>
      </w:r>
      <w:r>
        <w:rPr>
          <w:rFonts w:hint="eastAsia" w:ascii="仿宋" w:hAnsi="仿宋" w:eastAsia="仿宋" w:cs="仿宋"/>
          <w:i w:val="0"/>
          <w:iCs w:val="0"/>
          <w:caps w:val="0"/>
          <w:color w:val="212529"/>
          <w:spacing w:val="0"/>
          <w:sz w:val="32"/>
          <w:szCs w:val="32"/>
          <w:shd w:val="clear" w:fill="FFFFFF"/>
        </w:rPr>
        <w:t>，</w:t>
      </w:r>
      <w:r>
        <w:rPr>
          <w:rFonts w:hint="eastAsia" w:ascii="仿宋" w:hAnsi="仿宋" w:eastAsia="仿宋" w:cs="仿宋"/>
          <w:i w:val="0"/>
          <w:iCs w:val="0"/>
          <w:caps w:val="0"/>
          <w:color w:val="212529"/>
          <w:spacing w:val="0"/>
          <w:sz w:val="32"/>
          <w:szCs w:val="32"/>
          <w:shd w:val="clear" w:fill="FFFFFF"/>
          <w:lang w:val="en-US" w:eastAsia="zh-CN"/>
        </w:rPr>
        <w:t>无公务</w:t>
      </w:r>
      <w:r>
        <w:rPr>
          <w:rFonts w:hint="eastAsia" w:ascii="仿宋" w:hAnsi="仿宋" w:eastAsia="仿宋" w:cs="仿宋"/>
          <w:i w:val="0"/>
          <w:iCs w:val="0"/>
          <w:caps w:val="0"/>
          <w:color w:val="212529"/>
          <w:spacing w:val="0"/>
          <w:sz w:val="32"/>
          <w:szCs w:val="32"/>
          <w:shd w:val="clear" w:fill="FFFFFF"/>
        </w:rPr>
        <w:t>接待</w:t>
      </w:r>
      <w:r>
        <w:rPr>
          <w:rFonts w:hint="eastAsia" w:ascii="仿宋" w:hAnsi="仿宋" w:eastAsia="仿宋" w:cs="仿宋"/>
          <w:i w:val="0"/>
          <w:iCs w:val="0"/>
          <w:caps w:val="0"/>
          <w:color w:val="212529"/>
          <w:spacing w:val="0"/>
          <w:sz w:val="32"/>
          <w:szCs w:val="32"/>
          <w:shd w:val="clear" w:fill="FFFFFF"/>
          <w:lang w:val="en-US" w:eastAsia="zh-CN"/>
        </w:rPr>
        <w:t>计划</w:t>
      </w:r>
      <w:r>
        <w:rPr>
          <w:rFonts w:hint="eastAsia" w:ascii="仿宋" w:hAnsi="仿宋" w:eastAsia="仿宋" w:cs="仿宋"/>
          <w:i w:val="0"/>
          <w:iCs w:val="0"/>
          <w:caps w:val="0"/>
          <w:color w:val="212529"/>
          <w:spacing w:val="0"/>
          <w:sz w:val="32"/>
          <w:szCs w:val="32"/>
          <w:shd w:val="clear" w:fill="FFFFFF"/>
        </w:rPr>
        <w:t>。其中：</w:t>
      </w: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12529"/>
          <w:spacing w:val="0"/>
          <w:sz w:val="21"/>
          <w:szCs w:val="21"/>
        </w:rPr>
      </w:pPr>
      <w:r>
        <w:rPr>
          <w:rFonts w:hint="eastAsia" w:ascii="仿宋" w:hAnsi="仿宋" w:eastAsia="仿宋" w:cs="仿宋"/>
          <w:b/>
          <w:bCs/>
          <w:i w:val="0"/>
          <w:iCs w:val="0"/>
          <w:caps w:val="0"/>
          <w:color w:val="212529"/>
          <w:spacing w:val="0"/>
          <w:sz w:val="32"/>
          <w:szCs w:val="32"/>
          <w:shd w:val="clear" w:fill="FFFFFF"/>
        </w:rPr>
        <w:t>国内公务接待支出</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万元。国内公务接待</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批次，</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人次，共计支出</w:t>
      </w:r>
      <w:r>
        <w:rPr>
          <w:rFonts w:hint="eastAsia" w:ascii="仿宋" w:hAnsi="仿宋" w:eastAsia="仿宋" w:cs="仿宋"/>
          <w:i w:val="0"/>
          <w:iCs w:val="0"/>
          <w:caps w:val="0"/>
          <w:color w:val="212529"/>
          <w:spacing w:val="0"/>
          <w:sz w:val="32"/>
          <w:szCs w:val="32"/>
          <w:shd w:val="clear" w:fill="FFFFFF"/>
          <w:lang w:val="en-US" w:eastAsia="zh-CN"/>
        </w:rPr>
        <w:t>0</w:t>
      </w:r>
      <w:r>
        <w:rPr>
          <w:rFonts w:hint="eastAsia" w:ascii="仿宋" w:hAnsi="仿宋" w:eastAsia="仿宋" w:cs="仿宋"/>
          <w:i w:val="0"/>
          <w:iCs w:val="0"/>
          <w:caps w:val="0"/>
          <w:color w:val="212529"/>
          <w:spacing w:val="0"/>
          <w:sz w:val="32"/>
          <w:szCs w:val="32"/>
          <w:shd w:val="clear" w:fill="FFFFFF"/>
        </w:rPr>
        <w:t>万元。</w:t>
      </w:r>
    </w:p>
    <w:p>
      <w:pPr>
        <w:pStyle w:val="12"/>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12529"/>
          <w:spacing w:val="0"/>
          <w:sz w:val="21"/>
          <w:szCs w:val="21"/>
        </w:rPr>
      </w:pPr>
      <w:r>
        <w:rPr>
          <w:rFonts w:hint="eastAsia" w:ascii="仿宋" w:hAnsi="仿宋" w:eastAsia="仿宋" w:cs="仿宋"/>
          <w:b/>
          <w:bCs/>
          <w:i w:val="0"/>
          <w:iCs w:val="0"/>
          <w:caps w:val="0"/>
          <w:color w:val="212529"/>
          <w:spacing w:val="0"/>
          <w:sz w:val="32"/>
          <w:szCs w:val="32"/>
          <w:shd w:val="clear" w:fill="FFFFFF"/>
        </w:rPr>
        <w:t>外事接待支出</w:t>
      </w:r>
      <w:r>
        <w:rPr>
          <w:rFonts w:hint="eastAsia" w:ascii="仿宋" w:hAnsi="仿宋" w:eastAsia="仿宋" w:cs="仿宋"/>
          <w:i w:val="0"/>
          <w:iCs w:val="0"/>
          <w:caps w:val="0"/>
          <w:color w:val="212529"/>
          <w:spacing w:val="0"/>
          <w:sz w:val="32"/>
          <w:szCs w:val="32"/>
          <w:shd w:val="clear" w:fill="FFFFFF"/>
        </w:rPr>
        <w:t>0万元，外事接待0批次，0人</w:t>
      </w:r>
      <w:r>
        <w:rPr>
          <w:rFonts w:hint="eastAsia" w:ascii="仿宋" w:hAnsi="仿宋" w:eastAsia="仿宋" w:cs="仿宋"/>
          <w:i w:val="0"/>
          <w:iCs w:val="0"/>
          <w:caps w:val="0"/>
          <w:color w:val="212529"/>
          <w:spacing w:val="0"/>
          <w:sz w:val="32"/>
          <w:szCs w:val="32"/>
          <w:shd w:val="clear" w:fill="FFFFFF"/>
        </w:rPr>
        <w:t>次</w:t>
      </w:r>
      <w:r>
        <w:rPr>
          <w:rFonts w:hint="eastAsia" w:ascii="仿宋" w:hAnsi="仿宋" w:eastAsia="仿宋" w:cs="仿宋"/>
          <w:i w:val="0"/>
          <w:iCs w:val="0"/>
          <w:caps w:val="0"/>
          <w:color w:val="212529"/>
          <w:spacing w:val="0"/>
          <w:sz w:val="32"/>
          <w:szCs w:val="32"/>
          <w:shd w:val="clear" w:fill="FFFFFF"/>
        </w:rPr>
        <w:t>，共计支出0万元。</w:t>
      </w:r>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拨款支出14535</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8"/>
          <w:rFonts w:ascii="黑体" w:hAnsi="黑体" w:eastAsia="黑体"/>
          <w:b w:val="0"/>
          <w:color w:val="auto"/>
          <w:highlight w:val="none"/>
        </w:rPr>
      </w:pPr>
      <w:bookmarkStart w:id="42" w:name="_Toc15396611"/>
      <w:bookmarkStart w:id="43" w:name="_Toc15377219"/>
      <w:r>
        <w:rPr>
          <w:rStyle w:val="28"/>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8"/>
          <w:rFonts w:hint="eastAsia" w:ascii="黑体" w:hAnsi="黑体" w:eastAsia="黑体"/>
          <w:b w:val="0"/>
          <w:color w:val="auto"/>
          <w:highlight w:val="none"/>
        </w:rPr>
      </w:pPr>
      <w:bookmarkStart w:id="44" w:name="_Toc15377221"/>
      <w:bookmarkStart w:id="45" w:name="_Toc15396612"/>
      <w:r>
        <w:rPr>
          <w:rStyle w:val="28"/>
          <w:rFonts w:hint="eastAsia" w:ascii="黑体" w:hAnsi="黑体" w:eastAsia="黑体"/>
          <w:b w:val="0"/>
          <w:color w:val="auto"/>
          <w:highlight w:val="none"/>
        </w:rPr>
        <w:t>其他重要事项的情况说明</w:t>
      </w:r>
      <w:bookmarkEnd w:id="44"/>
      <w:bookmarkEnd w:id="45"/>
    </w:p>
    <w:p>
      <w:pPr>
        <w:spacing w:line="600" w:lineRule="exact"/>
        <w:ind w:firstLine="640" w:firstLineChars="200"/>
        <w:rPr>
          <w:rFonts w:hint="eastAsia" w:ascii="仿宋_GB2312" w:eastAsia="仿宋_GB2312"/>
          <w:color w:val="auto"/>
          <w:sz w:val="32"/>
          <w:szCs w:val="32"/>
          <w:highlight w:val="none"/>
          <w:lang w:val="en-US" w:eastAsia="zh-CN"/>
        </w:rPr>
      </w:pPr>
      <w:bookmarkStart w:id="46" w:name="_Toc15377222"/>
      <w:r>
        <w:rPr>
          <w:rFonts w:hint="eastAsia" w:ascii="仿宋_GB2312" w:eastAsia="仿宋_GB2312"/>
          <w:color w:val="auto"/>
          <w:sz w:val="32"/>
          <w:szCs w:val="32"/>
          <w:highlight w:val="none"/>
          <w:lang w:val="en-US" w:eastAsia="zh-CN"/>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hint="eastAsia" w:ascii="仿宋_GB2312" w:eastAsia="仿宋_GB2312"/>
          <w:color w:val="auto"/>
          <w:sz w:val="32"/>
          <w:szCs w:val="32"/>
          <w:highlight w:val="none"/>
        </w:rPr>
      </w:pPr>
      <w:bookmarkStart w:id="47" w:name="_Toc15377223"/>
      <w:r>
        <w:rPr>
          <w:rFonts w:hint="eastAsia" w:ascii="仿宋_GB2312" w:eastAsia="仿宋_GB2312"/>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hint="eastAsia" w:ascii="仿宋_GB2312" w:eastAsia="仿宋_GB2312"/>
          <w:color w:val="auto"/>
          <w:sz w:val="32"/>
          <w:szCs w:val="32"/>
          <w:highlight w:val="none"/>
        </w:rPr>
      </w:pPr>
      <w:bookmarkStart w:id="48" w:name="_Toc15377224"/>
      <w:r>
        <w:rPr>
          <w:rFonts w:hint="eastAsia" w:ascii="仿宋_GB2312" w:eastAsia="仿宋_GB2312"/>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中心</w:t>
      </w:r>
      <w:r>
        <w:rPr>
          <w:rFonts w:hint="eastAsia" w:ascii="仿宋_GB2312" w:hAnsi="Times New Roman" w:eastAsia="仿宋_GB2312"/>
          <w:color w:val="000000"/>
          <w:sz w:val="32"/>
          <w:szCs w:val="32"/>
          <w:lang w:val="en-US" w:eastAsia="zh-CN"/>
        </w:rPr>
        <w:t>共有车辆0辆。单价50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中心</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sz w:val="32"/>
          <w:szCs w:val="32"/>
          <w:lang w:eastAsia="zh-CN"/>
        </w:rPr>
        <w:t>土储项目日常管护费项目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rPr>
        <w:t>项目编制了绩效目标，预算执行过程中，开展绩效监控，年终执行完毕后，对</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pPr>
        <w:widowControl/>
        <w:jc w:val="center"/>
        <w:rPr>
          <w:rFonts w:hint="eastAsia" w:ascii="黑体" w:hAnsi="黑体" w:eastAsia="黑体"/>
          <w:b w:val="0"/>
          <w:bCs/>
          <w:color w:val="auto"/>
          <w:sz w:val="44"/>
          <w:szCs w:val="44"/>
          <w:highlight w:val="none"/>
        </w:rPr>
      </w:pPr>
      <w:bookmarkStart w:id="49" w:name="_Toc15396613"/>
      <w:bookmarkStart w:id="50" w:name="_Toc15377225"/>
    </w:p>
    <w:p>
      <w:pPr>
        <w:widowControl/>
        <w:jc w:val="center"/>
        <w:rPr>
          <w:rFonts w:hint="eastAsia" w:ascii="黑体" w:hAnsi="黑体" w:eastAsia="黑体"/>
          <w:b w:val="0"/>
          <w:bCs/>
          <w:color w:val="auto"/>
          <w:sz w:val="44"/>
          <w:szCs w:val="44"/>
          <w:highlight w:val="none"/>
        </w:rPr>
      </w:pPr>
    </w:p>
    <w:p>
      <w:pPr>
        <w:spacing w:line="700" w:lineRule="exact"/>
        <w:jc w:val="center"/>
        <w:rPr>
          <w:rFonts w:eastAsia="方正小标宋简体"/>
          <w:bCs/>
          <w:kern w:val="0"/>
          <w:sz w:val="44"/>
          <w:szCs w:val="44"/>
        </w:rPr>
      </w:pPr>
      <w:r>
        <w:rPr>
          <w:rFonts w:eastAsia="方正小标宋简体"/>
          <w:bCs/>
          <w:kern w:val="0"/>
          <w:sz w:val="44"/>
          <w:szCs w:val="44"/>
        </w:rPr>
        <w:t>部门预算项目支出绩效目标表</w:t>
      </w:r>
    </w:p>
    <w:p>
      <w:pPr>
        <w:jc w:val="center"/>
        <w:rPr>
          <w:rFonts w:eastAsia="仿宋_GB2312"/>
          <w:sz w:val="32"/>
          <w:szCs w:val="32"/>
        </w:rPr>
      </w:pPr>
      <w:r>
        <w:rPr>
          <w:kern w:val="0"/>
          <w:sz w:val="24"/>
        </w:rPr>
        <w:t>（</w:t>
      </w:r>
      <w:r>
        <w:rPr>
          <w:rFonts w:hint="eastAsia"/>
          <w:kern w:val="0"/>
          <w:sz w:val="24"/>
        </w:rPr>
        <w:t>2021</w:t>
      </w:r>
      <w:r>
        <w:rPr>
          <w:kern w:val="0"/>
          <w:sz w:val="24"/>
        </w:rPr>
        <w:t>年度）</w:t>
      </w:r>
    </w:p>
    <w:tbl>
      <w:tblPr>
        <w:tblStyle w:val="13"/>
        <w:tblW w:w="0" w:type="auto"/>
        <w:tblInd w:w="108" w:type="dxa"/>
        <w:tblLayout w:type="autofit"/>
        <w:tblCellMar>
          <w:top w:w="0" w:type="dxa"/>
          <w:left w:w="108" w:type="dxa"/>
          <w:bottom w:w="0" w:type="dxa"/>
          <w:right w:w="108" w:type="dxa"/>
        </w:tblCellMar>
      </w:tblPr>
      <w:tblGrid>
        <w:gridCol w:w="529"/>
        <w:gridCol w:w="1039"/>
        <w:gridCol w:w="1176"/>
        <w:gridCol w:w="2560"/>
        <w:gridCol w:w="3110"/>
      </w:tblGrid>
      <w:tr>
        <w:tblPrEx>
          <w:tblCellMar>
            <w:top w:w="0" w:type="dxa"/>
            <w:left w:w="108" w:type="dxa"/>
            <w:bottom w:w="0" w:type="dxa"/>
            <w:right w:w="108" w:type="dxa"/>
          </w:tblCellMar>
        </w:tblPrEx>
        <w:trPr>
          <w:trHeight w:val="544" w:hRule="atLeast"/>
        </w:trPr>
        <w:tc>
          <w:tcPr>
            <w:tcW w:w="0" w:type="auto"/>
            <w:gridSpan w:val="3"/>
            <w:tcBorders>
              <w:top w:val="single" w:color="auto" w:sz="4" w:space="0"/>
              <w:left w:val="single" w:color="auto" w:sz="4" w:space="0"/>
              <w:bottom w:val="single" w:color="auto" w:sz="4" w:space="0"/>
              <w:right w:val="nil"/>
            </w:tcBorders>
            <w:vAlign w:val="center"/>
          </w:tcPr>
          <w:p>
            <w:pPr>
              <w:widowControl/>
              <w:spacing w:line="280" w:lineRule="exact"/>
              <w:jc w:val="center"/>
              <w:rPr>
                <w:rFonts w:ascii="宋体" w:hAnsi="宋体"/>
                <w:kern w:val="0"/>
                <w:szCs w:val="21"/>
              </w:rPr>
            </w:pPr>
            <w:r>
              <w:rPr>
                <w:rFonts w:ascii="宋体" w:hAnsi="宋体"/>
                <w:kern w:val="0"/>
                <w:szCs w:val="21"/>
              </w:rPr>
              <w:t>项目名称</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Cs w:val="21"/>
                <w:lang w:eastAsia="zh-CN"/>
              </w:rPr>
            </w:pPr>
            <w:r>
              <w:rPr>
                <w:rFonts w:hint="eastAsia" w:ascii="宋体" w:hAnsi="宋体"/>
                <w:kern w:val="0"/>
                <w:szCs w:val="21"/>
                <w:lang w:eastAsia="zh-CN"/>
              </w:rPr>
              <w:t>土储项目日常管护费</w:t>
            </w:r>
          </w:p>
        </w:tc>
      </w:tr>
      <w:tr>
        <w:tblPrEx>
          <w:tblCellMar>
            <w:top w:w="0" w:type="dxa"/>
            <w:left w:w="108" w:type="dxa"/>
            <w:bottom w:w="0" w:type="dxa"/>
            <w:right w:w="108" w:type="dxa"/>
          </w:tblCellMar>
        </w:tblPrEx>
        <w:trPr>
          <w:trHeight w:val="436" w:hRule="atLeast"/>
        </w:trPr>
        <w:tc>
          <w:tcPr>
            <w:tcW w:w="0" w:type="auto"/>
            <w:gridSpan w:val="3"/>
            <w:tcBorders>
              <w:top w:val="single" w:color="auto" w:sz="4" w:space="0"/>
              <w:left w:val="single" w:color="auto" w:sz="4" w:space="0"/>
              <w:bottom w:val="single" w:color="auto" w:sz="4" w:space="0"/>
              <w:right w:val="nil"/>
            </w:tcBorders>
            <w:vAlign w:val="center"/>
          </w:tcPr>
          <w:p>
            <w:pPr>
              <w:widowControl/>
              <w:spacing w:line="280" w:lineRule="exact"/>
              <w:jc w:val="center"/>
              <w:rPr>
                <w:rFonts w:ascii="宋体" w:hAnsi="宋体"/>
                <w:kern w:val="0"/>
                <w:szCs w:val="21"/>
              </w:rPr>
            </w:pPr>
            <w:r>
              <w:rPr>
                <w:rFonts w:ascii="宋体" w:hAnsi="宋体"/>
                <w:kern w:val="0"/>
                <w:szCs w:val="21"/>
              </w:rPr>
              <w:t>预算单位</w:t>
            </w:r>
          </w:p>
        </w:tc>
        <w:tc>
          <w:tcPr>
            <w:tcW w:w="0" w:type="auto"/>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hint="eastAsia" w:ascii="宋体" w:hAnsi="宋体" w:eastAsia="宋体"/>
                <w:kern w:val="0"/>
                <w:szCs w:val="21"/>
                <w:lang w:eastAsia="zh-CN"/>
              </w:rPr>
            </w:pPr>
            <w:r>
              <w:rPr>
                <w:rFonts w:ascii="宋体" w:hAnsi="宋体"/>
                <w:kern w:val="0"/>
                <w:szCs w:val="21"/>
              </w:rPr>
              <w:t>　</w:t>
            </w:r>
            <w:r>
              <w:rPr>
                <w:rFonts w:hint="eastAsia" w:ascii="宋体" w:hAnsi="宋体"/>
                <w:kern w:val="0"/>
                <w:szCs w:val="21"/>
              </w:rPr>
              <w:t>遂宁市</w:t>
            </w:r>
            <w:r>
              <w:rPr>
                <w:rFonts w:hint="eastAsia" w:ascii="宋体" w:hAnsi="宋体"/>
                <w:kern w:val="0"/>
                <w:szCs w:val="21"/>
                <w:lang w:eastAsia="zh-CN"/>
              </w:rPr>
              <w:t>土地储备中心</w:t>
            </w:r>
          </w:p>
        </w:tc>
      </w:tr>
      <w:tr>
        <w:tblPrEx>
          <w:tblCellMar>
            <w:top w:w="0" w:type="dxa"/>
            <w:left w:w="108" w:type="dxa"/>
            <w:bottom w:w="0" w:type="dxa"/>
            <w:right w:w="108" w:type="dxa"/>
          </w:tblCellMar>
        </w:tblPrEx>
        <w:trPr>
          <w:trHeight w:val="159" w:hRule="atLeast"/>
        </w:trPr>
        <w:tc>
          <w:tcPr>
            <w:tcW w:w="0" w:type="auto"/>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项目资金</w:t>
            </w:r>
            <w:r>
              <w:rPr>
                <w:rFonts w:ascii="宋体" w:hAnsi="宋体"/>
                <w:kern w:val="0"/>
                <w:szCs w:val="21"/>
              </w:rPr>
              <w:br w:type="textWrapping"/>
            </w:r>
            <w:r>
              <w:rPr>
                <w:rFonts w:ascii="宋体" w:hAnsi="宋体"/>
                <w:kern w:val="0"/>
                <w:szCs w:val="21"/>
              </w:rPr>
              <w:t>（万元）</w:t>
            </w:r>
          </w:p>
        </w:tc>
        <w:tc>
          <w:tcPr>
            <w:tcW w:w="0" w:type="auto"/>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ascii="宋体" w:hAnsi="宋体"/>
                <w:kern w:val="0"/>
                <w:szCs w:val="21"/>
              </w:rPr>
              <w:t xml:space="preserve"> 年度资金总额：</w:t>
            </w:r>
            <w:r>
              <w:rPr>
                <w:rFonts w:hint="eastAsia" w:ascii="宋体" w:hAnsi="宋体"/>
                <w:kern w:val="0"/>
                <w:szCs w:val="21"/>
                <w:lang w:val="en-US" w:eastAsia="zh-CN"/>
              </w:rPr>
              <w:t>23.35</w:t>
            </w:r>
            <w:r>
              <w:rPr>
                <w:rFonts w:hint="eastAsia" w:ascii="宋体" w:hAnsi="宋体"/>
                <w:kern w:val="0"/>
                <w:szCs w:val="21"/>
              </w:rPr>
              <w:t>万</w:t>
            </w:r>
          </w:p>
        </w:tc>
      </w:tr>
      <w:tr>
        <w:tblPrEx>
          <w:tblCellMar>
            <w:top w:w="0" w:type="dxa"/>
            <w:left w:w="108" w:type="dxa"/>
            <w:bottom w:w="0" w:type="dxa"/>
            <w:right w:w="108" w:type="dxa"/>
          </w:tblCellMar>
        </w:tblPrEx>
        <w:trPr>
          <w:trHeight w:val="159"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ascii="宋体" w:hAnsi="宋体"/>
                <w:kern w:val="0"/>
                <w:szCs w:val="21"/>
              </w:rPr>
              <w:t xml:space="preserve">       其中：财政拨款</w:t>
            </w:r>
            <w:r>
              <w:rPr>
                <w:rFonts w:hint="eastAsia" w:ascii="宋体" w:hAnsi="宋体"/>
                <w:kern w:val="0"/>
                <w:szCs w:val="21"/>
              </w:rPr>
              <w:t xml:space="preserve"> </w:t>
            </w:r>
            <w:r>
              <w:rPr>
                <w:rFonts w:hint="eastAsia" w:ascii="宋体" w:hAnsi="宋体"/>
                <w:kern w:val="0"/>
                <w:szCs w:val="21"/>
                <w:lang w:val="en-US" w:eastAsia="zh-CN"/>
              </w:rPr>
              <w:t>23.35</w:t>
            </w:r>
            <w:r>
              <w:rPr>
                <w:rFonts w:hint="eastAsia" w:ascii="宋体" w:hAnsi="宋体"/>
                <w:kern w:val="0"/>
                <w:szCs w:val="21"/>
              </w:rPr>
              <w:t>万</w:t>
            </w:r>
          </w:p>
        </w:tc>
      </w:tr>
      <w:tr>
        <w:tblPrEx>
          <w:tblCellMar>
            <w:top w:w="0" w:type="dxa"/>
            <w:left w:w="108" w:type="dxa"/>
            <w:bottom w:w="0" w:type="dxa"/>
            <w:right w:w="108" w:type="dxa"/>
          </w:tblCellMar>
        </w:tblPrEx>
        <w:trPr>
          <w:trHeight w:val="159"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ascii="宋体" w:hAnsi="宋体"/>
                <w:kern w:val="0"/>
                <w:szCs w:val="21"/>
              </w:rPr>
              <w:t xml:space="preserve">             其他资金</w:t>
            </w:r>
          </w:p>
        </w:tc>
      </w:tr>
      <w:tr>
        <w:tblPrEx>
          <w:tblCellMar>
            <w:top w:w="0" w:type="dxa"/>
            <w:left w:w="108" w:type="dxa"/>
            <w:bottom w:w="0" w:type="dxa"/>
            <w:right w:w="108" w:type="dxa"/>
          </w:tblCellMar>
        </w:tblPrEx>
        <w:trPr>
          <w:trHeight w:val="159"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总体</w:t>
            </w:r>
            <w:r>
              <w:rPr>
                <w:rFonts w:ascii="宋体" w:hAnsi="宋体"/>
                <w:kern w:val="0"/>
                <w:szCs w:val="21"/>
              </w:rPr>
              <w:br w:type="textWrapping"/>
            </w:r>
            <w:r>
              <w:rPr>
                <w:rFonts w:ascii="宋体" w:hAnsi="宋体"/>
                <w:kern w:val="0"/>
                <w:szCs w:val="21"/>
              </w:rPr>
              <w:t>目标</w:t>
            </w:r>
          </w:p>
        </w:tc>
        <w:tc>
          <w:tcPr>
            <w:tcW w:w="0" w:type="auto"/>
            <w:gridSpan w:val="4"/>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年度目标</w:t>
            </w:r>
          </w:p>
        </w:tc>
      </w:tr>
      <w:tr>
        <w:tblPrEx>
          <w:tblCellMar>
            <w:top w:w="0" w:type="dxa"/>
            <w:left w:w="108" w:type="dxa"/>
            <w:bottom w:w="0" w:type="dxa"/>
            <w:right w:w="108" w:type="dxa"/>
          </w:tblCellMar>
        </w:tblPrEx>
        <w:trPr>
          <w:trHeight w:val="98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gridSpan w:val="4"/>
            <w:tcBorders>
              <w:top w:val="single" w:color="auto" w:sz="4" w:space="0"/>
              <w:left w:val="nil"/>
              <w:bottom w:val="single" w:color="auto" w:sz="4" w:space="0"/>
              <w:right w:val="single" w:color="auto" w:sz="4" w:space="0"/>
            </w:tcBorders>
          </w:tcPr>
          <w:p>
            <w:pPr>
              <w:widowControl/>
              <w:spacing w:line="280" w:lineRule="exact"/>
              <w:jc w:val="left"/>
              <w:rPr>
                <w:rFonts w:hint="eastAsia" w:ascii="宋体" w:hAnsi="宋体" w:eastAsia="宋体"/>
                <w:kern w:val="0"/>
                <w:szCs w:val="21"/>
                <w:lang w:eastAsia="zh-CN"/>
              </w:rPr>
            </w:pPr>
            <w:r>
              <w:rPr>
                <w:rFonts w:hint="eastAsia" w:ascii="宋体" w:hAnsi="宋体"/>
                <w:kern w:val="0"/>
                <w:szCs w:val="21"/>
                <w:lang w:eastAsia="zh-CN"/>
              </w:rPr>
              <w:t>通过实现本项目，完成本年度储备土地维护零星工程、地块巡查等工作，达到储备土地有效管理，以及防止储备土地被非法侵占、破坏的工作目标。</w:t>
            </w:r>
          </w:p>
        </w:tc>
      </w:tr>
      <w:tr>
        <w:tblPrEx>
          <w:tblCellMar>
            <w:top w:w="0" w:type="dxa"/>
            <w:left w:w="108" w:type="dxa"/>
            <w:bottom w:w="0" w:type="dxa"/>
            <w:right w:w="108" w:type="dxa"/>
          </w:tblCellMar>
        </w:tblPrEx>
        <w:trPr>
          <w:trHeight w:val="174" w:hRule="atLeast"/>
        </w:trPr>
        <w:tc>
          <w:tcPr>
            <w:tcW w:w="0" w:type="auto"/>
            <w:vMerge w:val="restart"/>
            <w:tcBorders>
              <w:top w:val="nil"/>
              <w:left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绩</w:t>
            </w:r>
            <w:r>
              <w:rPr>
                <w:rFonts w:ascii="宋体" w:hAnsi="宋体"/>
                <w:kern w:val="0"/>
                <w:szCs w:val="21"/>
              </w:rPr>
              <w:br w:type="textWrapping"/>
            </w:r>
            <w:r>
              <w:rPr>
                <w:rFonts w:ascii="宋体" w:hAnsi="宋体"/>
                <w:kern w:val="0"/>
                <w:szCs w:val="21"/>
              </w:rPr>
              <w:t>效</w:t>
            </w:r>
            <w:r>
              <w:rPr>
                <w:rFonts w:ascii="宋体" w:hAnsi="宋体"/>
                <w:kern w:val="0"/>
                <w:szCs w:val="21"/>
              </w:rPr>
              <w:br w:type="textWrapping"/>
            </w:r>
            <w:r>
              <w:rPr>
                <w:rFonts w:ascii="宋体" w:hAnsi="宋体"/>
                <w:kern w:val="0"/>
                <w:szCs w:val="21"/>
              </w:rPr>
              <w:t>指</w:t>
            </w:r>
            <w:r>
              <w:rPr>
                <w:rFonts w:ascii="宋体" w:hAnsi="宋体"/>
                <w:kern w:val="0"/>
                <w:szCs w:val="21"/>
              </w:rPr>
              <w:br w:type="textWrapping"/>
            </w:r>
            <w:r>
              <w:rPr>
                <w:rFonts w:ascii="宋体" w:hAnsi="宋体"/>
                <w:kern w:val="0"/>
                <w:szCs w:val="21"/>
              </w:rPr>
              <w:t>标</w:t>
            </w:r>
          </w:p>
        </w:tc>
        <w:tc>
          <w:tcPr>
            <w:tcW w:w="0" w:type="auto"/>
            <w:tcBorders>
              <w:top w:val="nil"/>
              <w:left w:val="nil"/>
              <w:bottom w:val="nil"/>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一级</w:t>
            </w:r>
            <w:r>
              <w:rPr>
                <w:rFonts w:ascii="宋体" w:hAnsi="宋体"/>
                <w:kern w:val="0"/>
                <w:szCs w:val="21"/>
              </w:rPr>
              <w:br w:type="textWrapping"/>
            </w: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二级指标</w:t>
            </w:r>
          </w:p>
        </w:tc>
        <w:tc>
          <w:tcPr>
            <w:tcW w:w="0" w:type="auto"/>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三级指标</w:t>
            </w:r>
          </w:p>
        </w:tc>
        <w:tc>
          <w:tcPr>
            <w:tcW w:w="0" w:type="auto"/>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指标值（包含数字及文字描述）</w:t>
            </w:r>
          </w:p>
        </w:tc>
      </w:tr>
      <w:tr>
        <w:tblPrEx>
          <w:tblCellMar>
            <w:top w:w="0" w:type="dxa"/>
            <w:left w:w="108" w:type="dxa"/>
            <w:bottom w:w="0" w:type="dxa"/>
            <w:right w:w="108" w:type="dxa"/>
          </w:tblCellMar>
        </w:tblPrEx>
        <w:trPr>
          <w:trHeight w:val="463"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项</w:t>
            </w:r>
          </w:p>
          <w:p>
            <w:pPr>
              <w:widowControl/>
              <w:spacing w:line="280" w:lineRule="exact"/>
              <w:jc w:val="center"/>
              <w:rPr>
                <w:rFonts w:ascii="宋体" w:hAnsi="宋体"/>
                <w:kern w:val="0"/>
                <w:szCs w:val="21"/>
              </w:rPr>
            </w:pPr>
            <w:r>
              <w:rPr>
                <w:rFonts w:ascii="宋体" w:hAnsi="宋体"/>
                <w:kern w:val="0"/>
                <w:szCs w:val="21"/>
              </w:rPr>
              <w:t>目</w:t>
            </w:r>
          </w:p>
          <w:p>
            <w:pPr>
              <w:widowControl/>
              <w:spacing w:line="280" w:lineRule="exact"/>
              <w:jc w:val="center"/>
              <w:rPr>
                <w:rFonts w:ascii="宋体" w:hAnsi="宋体"/>
                <w:kern w:val="0"/>
                <w:szCs w:val="21"/>
              </w:rPr>
            </w:pPr>
            <w:r>
              <w:rPr>
                <w:rFonts w:ascii="宋体" w:hAnsi="宋体"/>
                <w:kern w:val="0"/>
                <w:szCs w:val="21"/>
              </w:rPr>
              <w:t>完</w:t>
            </w:r>
          </w:p>
          <w:p>
            <w:pPr>
              <w:widowControl/>
              <w:spacing w:line="280" w:lineRule="exact"/>
              <w:jc w:val="center"/>
              <w:rPr>
                <w:rFonts w:ascii="宋体" w:hAnsi="宋体"/>
                <w:kern w:val="0"/>
                <w:szCs w:val="21"/>
              </w:rPr>
            </w:pPr>
            <w:r>
              <w:rPr>
                <w:rFonts w:ascii="宋体" w:hAnsi="宋体"/>
                <w:kern w:val="0"/>
                <w:szCs w:val="21"/>
              </w:rPr>
              <w:t>成</w:t>
            </w:r>
          </w:p>
        </w:tc>
        <w:tc>
          <w:tcPr>
            <w:tcW w:w="0" w:type="auto"/>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数量</w:t>
            </w:r>
          </w:p>
          <w:p>
            <w:pPr>
              <w:widowControl/>
              <w:spacing w:line="280" w:lineRule="exact"/>
              <w:jc w:val="center"/>
              <w:rPr>
                <w:rFonts w:ascii="宋体" w:hAnsi="宋体"/>
                <w:kern w:val="0"/>
                <w:szCs w:val="21"/>
              </w:rPr>
            </w:pP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szCs w:val="21"/>
              </w:rPr>
              <w:t>指标</w:t>
            </w:r>
            <w:r>
              <w:rPr>
                <w:rFonts w:ascii="宋体" w:hAnsi="宋体"/>
                <w:szCs w:val="21"/>
              </w:rPr>
              <w:t>1</w:t>
            </w:r>
            <w:r>
              <w:rPr>
                <w:rFonts w:hint="eastAsia" w:ascii="宋体" w:hAnsi="宋体"/>
                <w:szCs w:val="21"/>
              </w:rPr>
              <w:t>：</w:t>
            </w:r>
            <w:r>
              <w:rPr>
                <w:rFonts w:hint="eastAsia" w:ascii="宋体" w:hAnsi="宋体"/>
                <w:szCs w:val="21"/>
                <w:lang w:eastAsia="zh-CN"/>
              </w:rPr>
              <w:t>委托第三方管理数量</w:t>
            </w:r>
          </w:p>
        </w:tc>
        <w:tc>
          <w:tcPr>
            <w:tcW w:w="0" w:type="auto"/>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szCs w:val="21"/>
                <w:lang w:val="en-US" w:eastAsia="zh-CN"/>
              </w:rPr>
              <w:t>11.98亩</w:t>
            </w:r>
          </w:p>
        </w:tc>
      </w:tr>
      <w:tr>
        <w:tblPrEx>
          <w:tblCellMar>
            <w:top w:w="0" w:type="dxa"/>
            <w:left w:w="108" w:type="dxa"/>
            <w:bottom w:w="0" w:type="dxa"/>
            <w:right w:w="108" w:type="dxa"/>
          </w:tblCellMar>
        </w:tblPrEx>
        <w:trPr>
          <w:trHeight w:val="458"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center"/>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center"/>
              <w:rPr>
                <w:rFonts w:ascii="宋体" w:hAnsi="宋体"/>
                <w:kern w:val="0"/>
                <w:szCs w:val="21"/>
              </w:rPr>
            </w:pPr>
          </w:p>
        </w:tc>
        <w:tc>
          <w:tcPr>
            <w:tcW w:w="0" w:type="auto"/>
            <w:tcBorders>
              <w:top w:val="nil"/>
              <w:left w:val="nil"/>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Cs w:val="21"/>
              </w:rPr>
              <w:t>指标</w:t>
            </w:r>
            <w:r>
              <w:rPr>
                <w:rFonts w:hint="eastAsia" w:ascii="宋体" w:hAnsi="宋体"/>
                <w:szCs w:val="21"/>
                <w:lang w:val="en-US" w:eastAsia="zh-CN"/>
              </w:rPr>
              <w:t>2</w:t>
            </w:r>
            <w:r>
              <w:rPr>
                <w:rFonts w:hint="eastAsia" w:ascii="宋体" w:hAnsi="宋体"/>
                <w:szCs w:val="21"/>
              </w:rPr>
              <w:t>：</w:t>
            </w:r>
            <w:r>
              <w:rPr>
                <w:rFonts w:hint="eastAsia" w:ascii="宋体" w:hAnsi="宋体"/>
                <w:szCs w:val="21"/>
                <w:lang w:eastAsia="zh-CN"/>
              </w:rPr>
              <w:t>储备土地巡查数量</w:t>
            </w:r>
          </w:p>
        </w:tc>
        <w:tc>
          <w:tcPr>
            <w:tcW w:w="0" w:type="auto"/>
            <w:tcBorders>
              <w:top w:val="single" w:color="auto" w:sz="4" w:space="0"/>
              <w:left w:val="nil"/>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237.4亩</w:t>
            </w:r>
          </w:p>
        </w:tc>
      </w:tr>
      <w:tr>
        <w:tblPrEx>
          <w:tblCellMar>
            <w:top w:w="0" w:type="dxa"/>
            <w:left w:w="108" w:type="dxa"/>
            <w:bottom w:w="0" w:type="dxa"/>
            <w:right w:w="108" w:type="dxa"/>
          </w:tblCellMar>
        </w:tblPrEx>
        <w:trPr>
          <w:trHeight w:val="428"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center"/>
              <w:rPr>
                <w:rFonts w:ascii="宋体" w:hAnsi="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p>
        </w:tc>
        <w:tc>
          <w:tcPr>
            <w:tcW w:w="0" w:type="auto"/>
            <w:tcBorders>
              <w:top w:val="nil"/>
              <w:left w:val="nil"/>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Cs w:val="21"/>
              </w:rPr>
              <w:t>指标</w:t>
            </w: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储备地块维护零星工程数量</w:t>
            </w:r>
          </w:p>
        </w:tc>
        <w:tc>
          <w:tcPr>
            <w:tcW w:w="0" w:type="auto"/>
            <w:tcBorders>
              <w:top w:val="single" w:color="auto" w:sz="4" w:space="0"/>
              <w:left w:val="nil"/>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31.05亩</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质量</w:t>
            </w:r>
          </w:p>
          <w:p>
            <w:pPr>
              <w:widowControl/>
              <w:spacing w:line="280" w:lineRule="exact"/>
              <w:jc w:val="center"/>
              <w:rPr>
                <w:rFonts w:ascii="宋体" w:hAnsi="宋体"/>
                <w:kern w:val="0"/>
                <w:szCs w:val="21"/>
              </w:rPr>
            </w:pP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指标</w:t>
            </w:r>
            <w:r>
              <w:rPr>
                <w:rFonts w:ascii="宋体" w:hAnsi="宋体"/>
                <w:szCs w:val="21"/>
              </w:rPr>
              <w:t>1</w:t>
            </w:r>
            <w:r>
              <w:rPr>
                <w:rFonts w:hint="eastAsia" w:ascii="宋体" w:hAnsi="宋体"/>
                <w:szCs w:val="21"/>
              </w:rPr>
              <w:t>：</w:t>
            </w:r>
            <w:r>
              <w:rPr>
                <w:rFonts w:hint="eastAsia" w:ascii="宋体" w:hAnsi="宋体"/>
                <w:szCs w:val="21"/>
                <w:lang w:eastAsia="zh-CN"/>
              </w:rPr>
              <w:t>管护覆盖</w:t>
            </w:r>
            <w:r>
              <w:rPr>
                <w:rFonts w:hint="eastAsia" w:ascii="宋体" w:hAnsi="宋体"/>
                <w:szCs w:val="21"/>
              </w:rPr>
              <w:t>率</w:t>
            </w:r>
          </w:p>
        </w:tc>
        <w:tc>
          <w:tcPr>
            <w:tcW w:w="0" w:type="auto"/>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ascii="宋体" w:hAnsi="宋体"/>
                <w:szCs w:val="21"/>
              </w:rPr>
              <w:t>100%</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指标</w:t>
            </w:r>
            <w:r>
              <w:rPr>
                <w:rFonts w:ascii="宋体" w:hAnsi="宋体"/>
                <w:szCs w:val="21"/>
              </w:rPr>
              <w:t>2</w:t>
            </w:r>
            <w:r>
              <w:rPr>
                <w:rFonts w:hint="eastAsia" w:ascii="宋体" w:hAnsi="宋体"/>
                <w:szCs w:val="21"/>
              </w:rPr>
              <w:t>：</w:t>
            </w:r>
            <w:r>
              <w:rPr>
                <w:rFonts w:hint="eastAsia" w:ascii="宋体" w:hAnsi="宋体"/>
                <w:szCs w:val="21"/>
                <w:lang w:eastAsia="zh-CN"/>
              </w:rPr>
              <w:t>工程质量合格</w:t>
            </w:r>
            <w:r>
              <w:rPr>
                <w:rFonts w:hint="eastAsia" w:ascii="宋体" w:hAnsi="宋体"/>
                <w:szCs w:val="21"/>
              </w:rPr>
              <w:t>率</w:t>
            </w:r>
          </w:p>
        </w:tc>
        <w:tc>
          <w:tcPr>
            <w:tcW w:w="0" w:type="auto"/>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kern w:val="0"/>
                <w:szCs w:val="21"/>
              </w:rPr>
              <w:t>≥</w:t>
            </w:r>
            <w:r>
              <w:rPr>
                <w:rFonts w:hint="eastAsia" w:ascii="宋体" w:hAnsi="宋体"/>
                <w:szCs w:val="21"/>
                <w:lang w:val="en-US" w:eastAsia="zh-CN"/>
              </w:rPr>
              <w:t>95</w:t>
            </w:r>
            <w:r>
              <w:rPr>
                <w:rFonts w:ascii="宋体" w:hAnsi="宋体"/>
                <w:szCs w:val="21"/>
              </w:rPr>
              <w:t>%</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nil"/>
              <w:left w:val="nil"/>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Cs w:val="21"/>
              </w:rPr>
              <w:t>指标</w:t>
            </w: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巡查验收合格率</w:t>
            </w:r>
          </w:p>
        </w:tc>
        <w:tc>
          <w:tcPr>
            <w:tcW w:w="0" w:type="auto"/>
            <w:tcBorders>
              <w:top w:val="single" w:color="auto" w:sz="4" w:space="0"/>
              <w:left w:val="nil"/>
              <w:bottom w:val="single" w:color="auto" w:sz="4" w:space="0"/>
              <w:right w:val="single" w:color="auto" w:sz="4" w:space="0"/>
            </w:tcBorders>
            <w:vAlign w:val="center"/>
          </w:tcPr>
          <w:p>
            <w:pPr>
              <w:jc w:val="center"/>
              <w:rPr>
                <w:rFonts w:hint="eastAsia"/>
                <w:kern w:val="0"/>
                <w:szCs w:val="21"/>
              </w:rPr>
            </w:pPr>
            <w:r>
              <w:rPr>
                <w:rFonts w:ascii="宋体" w:hAnsi="宋体"/>
                <w:szCs w:val="21"/>
              </w:rPr>
              <w:t>100%</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时效</w:t>
            </w:r>
          </w:p>
          <w:p>
            <w:pPr>
              <w:widowControl/>
              <w:spacing w:line="280" w:lineRule="exact"/>
              <w:jc w:val="center"/>
              <w:rPr>
                <w:rFonts w:ascii="宋体" w:hAnsi="宋体"/>
                <w:kern w:val="0"/>
                <w:szCs w:val="21"/>
              </w:rPr>
            </w:pP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Cs w:val="21"/>
              </w:rPr>
              <w:t>指标</w:t>
            </w:r>
            <w:r>
              <w:rPr>
                <w:rFonts w:ascii="宋体" w:hAnsi="宋体"/>
                <w:szCs w:val="21"/>
              </w:rPr>
              <w:t>1</w:t>
            </w:r>
            <w:r>
              <w:rPr>
                <w:rFonts w:hint="eastAsia" w:ascii="宋体" w:hAnsi="宋体"/>
                <w:szCs w:val="21"/>
              </w:rPr>
              <w:t>：</w:t>
            </w:r>
            <w:r>
              <w:rPr>
                <w:rFonts w:hint="eastAsia" w:ascii="宋体" w:hAnsi="宋体"/>
                <w:szCs w:val="21"/>
                <w:lang w:eastAsia="zh-CN"/>
              </w:rPr>
              <w:t>地块巡查工作完成及时率</w:t>
            </w:r>
          </w:p>
        </w:tc>
        <w:tc>
          <w:tcPr>
            <w:tcW w:w="0" w:type="auto"/>
            <w:tcBorders>
              <w:top w:val="single" w:color="auto" w:sz="4" w:space="0"/>
              <w:left w:val="nil"/>
              <w:bottom w:val="single" w:color="auto" w:sz="4" w:space="0"/>
              <w:right w:val="single" w:color="auto" w:sz="4" w:space="0"/>
            </w:tcBorders>
            <w:vAlign w:val="center"/>
          </w:tcPr>
          <w:p>
            <w:pPr>
              <w:jc w:val="center"/>
              <w:rPr>
                <w:rFonts w:hint="eastAsia"/>
                <w:kern w:val="0"/>
                <w:szCs w:val="21"/>
              </w:rPr>
            </w:pPr>
            <w:r>
              <w:rPr>
                <w:rFonts w:ascii="宋体" w:hAnsi="宋体"/>
                <w:szCs w:val="21"/>
              </w:rPr>
              <w:t>100%</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kern w:val="0"/>
                <w:szCs w:val="21"/>
                <w:lang w:eastAsia="zh-CN"/>
              </w:rPr>
            </w:pPr>
            <w:r>
              <w:rPr>
                <w:rFonts w:hint="eastAsia" w:ascii="宋体" w:hAnsi="宋体"/>
                <w:szCs w:val="21"/>
              </w:rPr>
              <w:t>指标</w:t>
            </w:r>
            <w:r>
              <w:rPr>
                <w:rFonts w:hint="eastAsia" w:ascii="宋体" w:hAnsi="宋体"/>
                <w:szCs w:val="21"/>
                <w:lang w:val="en-US" w:eastAsia="zh-CN"/>
              </w:rPr>
              <w:t>2</w:t>
            </w:r>
            <w:r>
              <w:rPr>
                <w:rFonts w:hint="eastAsia" w:ascii="宋体" w:hAnsi="宋体"/>
                <w:szCs w:val="21"/>
              </w:rPr>
              <w:t>：</w:t>
            </w:r>
            <w:r>
              <w:rPr>
                <w:rFonts w:hint="eastAsia" w:ascii="宋体" w:hAnsi="宋体"/>
                <w:szCs w:val="21"/>
                <w:lang w:eastAsia="zh-CN"/>
              </w:rPr>
              <w:t>零星工程进展率</w:t>
            </w:r>
          </w:p>
        </w:tc>
        <w:tc>
          <w:tcPr>
            <w:tcW w:w="0" w:type="auto"/>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kern w:val="0"/>
                <w:szCs w:val="21"/>
              </w:rPr>
              <w:t>≥</w:t>
            </w:r>
            <w:r>
              <w:rPr>
                <w:rFonts w:hint="eastAsia" w:ascii="宋体" w:hAnsi="宋体"/>
                <w:szCs w:val="21"/>
                <w:lang w:val="en-US" w:eastAsia="zh-CN"/>
              </w:rPr>
              <w:t>95</w:t>
            </w:r>
            <w:r>
              <w:rPr>
                <w:rFonts w:ascii="宋体" w:hAnsi="宋体"/>
                <w:szCs w:val="21"/>
              </w:rPr>
              <w:t>%</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成本</w:t>
            </w:r>
          </w:p>
          <w:p>
            <w:pPr>
              <w:widowControl/>
              <w:spacing w:line="280" w:lineRule="exact"/>
              <w:jc w:val="center"/>
              <w:rPr>
                <w:rFonts w:ascii="宋体" w:hAnsi="宋体"/>
                <w:kern w:val="0"/>
                <w:szCs w:val="21"/>
              </w:rPr>
            </w:pP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ascii="宋体" w:hAnsi="宋体"/>
                <w:kern w:val="0"/>
                <w:szCs w:val="21"/>
              </w:rPr>
              <w:t>指标</w:t>
            </w:r>
            <w:r>
              <w:rPr>
                <w:rFonts w:hint="eastAsia" w:ascii="宋体" w:hAnsi="宋体"/>
                <w:kern w:val="0"/>
                <w:szCs w:val="21"/>
                <w:lang w:val="en-US" w:eastAsia="zh-CN"/>
              </w:rPr>
              <w:t>1</w:t>
            </w:r>
            <w:r>
              <w:rPr>
                <w:rFonts w:ascii="宋体" w:hAnsi="宋体"/>
                <w:kern w:val="0"/>
                <w:szCs w:val="21"/>
              </w:rPr>
              <w:t>：</w:t>
            </w:r>
            <w:r>
              <w:rPr>
                <w:rFonts w:hint="eastAsia" w:ascii="宋体" w:hAnsi="宋体"/>
                <w:kern w:val="0"/>
                <w:szCs w:val="21"/>
                <w:lang w:eastAsia="zh-CN"/>
              </w:rPr>
              <w:t>土储项目管护成本</w:t>
            </w:r>
          </w:p>
        </w:tc>
        <w:tc>
          <w:tcPr>
            <w:tcW w:w="0" w:type="auto"/>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lang w:val="en-US" w:eastAsia="zh-CN"/>
              </w:rPr>
              <w:t>23.35万元</w:t>
            </w:r>
            <w:r>
              <w:rPr>
                <w:rFonts w:ascii="宋体" w:hAnsi="宋体"/>
                <w:kern w:val="0"/>
                <w:szCs w:val="21"/>
              </w:rPr>
              <w:t>　</w:t>
            </w:r>
          </w:p>
        </w:tc>
      </w:tr>
      <w:tr>
        <w:tblPrEx>
          <w:tblCellMar>
            <w:top w:w="0" w:type="dxa"/>
            <w:left w:w="108" w:type="dxa"/>
            <w:bottom w:w="0" w:type="dxa"/>
            <w:right w:w="108" w:type="dxa"/>
          </w:tblCellMar>
        </w:tblPrEx>
        <w:trPr>
          <w:trHeight w:val="540"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社会</w:t>
            </w:r>
          </w:p>
          <w:p>
            <w:pPr>
              <w:spacing w:line="280" w:lineRule="exact"/>
              <w:jc w:val="center"/>
              <w:rPr>
                <w:rFonts w:ascii="宋体" w:hAnsi="宋体"/>
                <w:kern w:val="0"/>
                <w:szCs w:val="21"/>
              </w:rPr>
            </w:pPr>
            <w:r>
              <w:rPr>
                <w:rFonts w:ascii="宋体" w:hAnsi="宋体"/>
                <w:kern w:val="0"/>
                <w:szCs w:val="21"/>
              </w:rPr>
              <w:t>效益</w:t>
            </w:r>
            <w:r>
              <w:rPr>
                <w:rFonts w:ascii="宋体" w:hAnsi="宋体"/>
                <w:kern w:val="0"/>
                <w:szCs w:val="21"/>
              </w:rPr>
              <w:br w:type="textWrapping"/>
            </w: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szCs w:val="21"/>
              </w:rPr>
              <w:t>指标</w:t>
            </w: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对储备土地管理的促进作用</w:t>
            </w:r>
          </w:p>
        </w:tc>
        <w:tc>
          <w:tcPr>
            <w:tcW w:w="0" w:type="auto"/>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szCs w:val="21"/>
                <w:lang w:eastAsia="zh-CN"/>
              </w:rPr>
            </w:pPr>
            <w:r>
              <w:rPr>
                <w:rFonts w:hint="eastAsia" w:ascii="宋体" w:hAnsi="宋体"/>
                <w:szCs w:val="21"/>
                <w:lang w:eastAsia="zh-CN"/>
              </w:rPr>
              <w:t>有助于国有储备土地管理的科学化、规范化</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可持续</w:t>
            </w:r>
          </w:p>
          <w:p>
            <w:pPr>
              <w:widowControl/>
              <w:spacing w:line="280" w:lineRule="exact"/>
              <w:jc w:val="center"/>
              <w:rPr>
                <w:rFonts w:ascii="宋体" w:hAnsi="宋体"/>
                <w:kern w:val="0"/>
                <w:szCs w:val="21"/>
              </w:rPr>
            </w:pPr>
            <w:r>
              <w:rPr>
                <w:rFonts w:ascii="宋体" w:hAnsi="宋体"/>
                <w:kern w:val="0"/>
                <w:szCs w:val="21"/>
              </w:rPr>
              <w:t>影响</w:t>
            </w:r>
          </w:p>
          <w:p>
            <w:pPr>
              <w:spacing w:line="280" w:lineRule="exact"/>
              <w:jc w:val="center"/>
              <w:rPr>
                <w:rFonts w:ascii="宋体" w:hAnsi="宋体"/>
                <w:kern w:val="0"/>
                <w:szCs w:val="21"/>
              </w:rPr>
            </w:pP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rPr>
                <w:rFonts w:hint="eastAsia" w:ascii="宋体" w:hAnsi="宋体" w:eastAsia="宋体"/>
                <w:kern w:val="0"/>
                <w:szCs w:val="21"/>
                <w:lang w:eastAsia="zh-CN"/>
              </w:rPr>
            </w:pPr>
            <w:r>
              <w:rPr>
                <w:rFonts w:hint="eastAsia" w:ascii="宋体" w:hAnsi="宋体"/>
                <w:szCs w:val="21"/>
              </w:rPr>
              <w:t>指标</w:t>
            </w: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地块管护维护情况</w:t>
            </w:r>
          </w:p>
        </w:tc>
        <w:tc>
          <w:tcPr>
            <w:tcW w:w="0" w:type="auto"/>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Cs w:val="21"/>
                <w:lang w:eastAsia="zh-CN"/>
              </w:rPr>
            </w:pPr>
            <w:r>
              <w:rPr>
                <w:rFonts w:hint="eastAsia" w:ascii="宋体" w:hAnsi="宋体"/>
                <w:szCs w:val="21"/>
                <w:lang w:eastAsia="zh-CN"/>
              </w:rPr>
              <w:t>良好</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right w:val="single" w:color="auto" w:sz="4" w:space="0"/>
            </w:tcBorders>
            <w:vAlign w:val="center"/>
          </w:tcPr>
          <w:p>
            <w:pPr>
              <w:widowControl/>
              <w:spacing w:line="280" w:lineRule="exact"/>
              <w:jc w:val="left"/>
              <w:rPr>
                <w:rFonts w:ascii="宋体" w:hAnsi="宋体"/>
                <w:kern w:val="0"/>
                <w:szCs w:val="21"/>
              </w:rPr>
            </w:pPr>
          </w:p>
        </w:tc>
        <w:tc>
          <w:tcPr>
            <w:tcW w:w="0" w:type="auto"/>
            <w:vMerge w:val="continue"/>
            <w:tcBorders>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lang w:eastAsia="zh-CN"/>
              </w:rPr>
              <w:t>生态效益</w:t>
            </w: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szCs w:val="21"/>
              </w:rPr>
              <w:t>指标</w:t>
            </w: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解决地块环境卫生情况</w:t>
            </w:r>
          </w:p>
        </w:tc>
        <w:tc>
          <w:tcPr>
            <w:tcW w:w="0" w:type="auto"/>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szCs w:val="21"/>
                <w:lang w:eastAsia="zh-CN"/>
              </w:rPr>
              <w:t>效果好</w:t>
            </w:r>
          </w:p>
        </w:tc>
      </w:tr>
      <w:tr>
        <w:tblPrEx>
          <w:tblCellMar>
            <w:top w:w="0" w:type="dxa"/>
            <w:left w:w="108" w:type="dxa"/>
            <w:bottom w:w="0" w:type="dxa"/>
            <w:right w:w="108" w:type="dxa"/>
          </w:tblCellMar>
        </w:tblPrEx>
        <w:trPr>
          <w:trHeight w:val="114" w:hRule="atLeast"/>
        </w:trPr>
        <w:tc>
          <w:tcPr>
            <w:tcW w:w="0" w:type="auto"/>
            <w:vMerge w:val="continue"/>
            <w:tcBorders>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Cs w:val="21"/>
              </w:rPr>
            </w:pPr>
          </w:p>
        </w:tc>
        <w:tc>
          <w:tcPr>
            <w:tcW w:w="0" w:type="auto"/>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ascii="宋体" w:hAnsi="宋体"/>
                <w:kern w:val="0"/>
                <w:szCs w:val="21"/>
              </w:rPr>
              <w:t>满意度</w:t>
            </w:r>
          </w:p>
          <w:p>
            <w:pPr>
              <w:widowControl/>
              <w:spacing w:line="280" w:lineRule="exact"/>
              <w:jc w:val="center"/>
              <w:rPr>
                <w:rFonts w:ascii="宋体" w:hAnsi="宋体"/>
                <w:kern w:val="0"/>
                <w:szCs w:val="21"/>
              </w:rPr>
            </w:pPr>
            <w:r>
              <w:rPr>
                <w:rFonts w:ascii="宋体" w:hAnsi="宋体"/>
                <w:kern w:val="0"/>
                <w:szCs w:val="21"/>
              </w:rPr>
              <w:t>指标</w:t>
            </w:r>
          </w:p>
        </w:tc>
        <w:tc>
          <w:tcPr>
            <w:tcW w:w="0" w:type="auto"/>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zCs w:val="21"/>
                <w:lang w:eastAsia="zh-CN"/>
              </w:rPr>
            </w:pPr>
            <w:r>
              <w:rPr>
                <w:rFonts w:hint="eastAsia" w:ascii="宋体" w:hAnsi="宋体"/>
                <w:szCs w:val="21"/>
              </w:rPr>
              <w:t>指标</w:t>
            </w: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主管部门满意度</w:t>
            </w:r>
          </w:p>
        </w:tc>
        <w:tc>
          <w:tcPr>
            <w:tcW w:w="0" w:type="auto"/>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szCs w:val="21"/>
              </w:rPr>
            </w:pPr>
            <w:r>
              <w:rPr>
                <w:rFonts w:hint="eastAsia"/>
                <w:kern w:val="0"/>
                <w:szCs w:val="21"/>
              </w:rPr>
              <w:t>≥</w:t>
            </w:r>
            <w:r>
              <w:rPr>
                <w:rFonts w:hint="eastAsia" w:ascii="宋体" w:hAnsi="宋体"/>
                <w:szCs w:val="21"/>
                <w:lang w:val="en-US" w:eastAsia="zh-CN"/>
              </w:rPr>
              <w:t>95</w:t>
            </w:r>
            <w:r>
              <w:rPr>
                <w:rFonts w:ascii="宋体" w:hAnsi="宋体"/>
                <w:szCs w:val="21"/>
              </w:rPr>
              <w:t>%</w:t>
            </w:r>
          </w:p>
        </w:tc>
      </w:tr>
    </w:tbl>
    <w:p>
      <w:pPr>
        <w:pStyle w:val="2"/>
        <w:spacing w:before="9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项目绩效目标自评报告见附件。</w:t>
      </w:r>
    </w:p>
    <w:p>
      <w:pPr>
        <w:widowControl/>
        <w:jc w:val="both"/>
        <w:rPr>
          <w:rFonts w:hint="eastAsia" w:ascii="黑体" w:hAnsi="黑体" w:eastAsia="黑体"/>
          <w:b w:val="0"/>
          <w:bCs/>
          <w:color w:val="auto"/>
          <w:sz w:val="44"/>
          <w:szCs w:val="44"/>
          <w:highlight w:val="none"/>
        </w:rPr>
      </w:pPr>
    </w:p>
    <w:p>
      <w:pPr>
        <w:widowControl/>
        <w:jc w:val="center"/>
        <w:rPr>
          <w:rFonts w:hint="eastAsia" w:ascii="黑体" w:hAnsi="黑体" w:eastAsia="黑体"/>
          <w:b w:val="0"/>
          <w:bCs/>
          <w:color w:val="auto"/>
          <w:sz w:val="44"/>
          <w:szCs w:val="44"/>
          <w:highlight w:val="none"/>
        </w:rPr>
      </w:pPr>
    </w:p>
    <w:p>
      <w:pPr>
        <w:widowControl/>
        <w:jc w:val="center"/>
        <w:rPr>
          <w:rStyle w:val="27"/>
          <w:rFonts w:ascii="黑体" w:hAnsi="黑体" w:eastAsia="黑体"/>
          <w:b w:val="0"/>
          <w:color w:val="auto"/>
          <w:highlight w:val="none"/>
        </w:rPr>
      </w:pPr>
      <w:r>
        <w:rPr>
          <w:rFonts w:hint="eastAsia" w:ascii="黑体" w:hAnsi="黑体" w:eastAsia="黑体"/>
          <w:b w:val="0"/>
          <w:bCs/>
          <w:color w:val="auto"/>
          <w:sz w:val="44"/>
          <w:szCs w:val="44"/>
          <w:highlight w:val="none"/>
        </w:rPr>
        <w:t>第</w:t>
      </w:r>
      <w:r>
        <w:rPr>
          <w:rFonts w:hint="eastAsia" w:ascii="黑体" w:hAnsi="黑体" w:eastAsia="黑体"/>
          <w:b w:val="0"/>
          <w:bCs/>
          <w:color w:val="auto"/>
          <w:sz w:val="44"/>
          <w:szCs w:val="44"/>
          <w:highlight w:val="none"/>
          <w:lang w:eastAsia="zh-CN"/>
        </w:rPr>
        <w:t>三</w:t>
      </w:r>
      <w:r>
        <w:rPr>
          <w:rFonts w:hint="eastAsia" w:ascii="黑体" w:hAnsi="黑体" w:eastAsia="黑体"/>
          <w:b w:val="0"/>
          <w:bCs/>
          <w:color w:val="auto"/>
          <w:sz w:val="44"/>
          <w:szCs w:val="44"/>
          <w:highlight w:val="none"/>
        </w:rPr>
        <w:t xml:space="preserve">部分 </w:t>
      </w:r>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银行存款利息收入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5.</w:t>
      </w:r>
      <w:r>
        <w:rPr>
          <w:rFonts w:hint="eastAsia" w:ascii="仿宋_GB2312" w:hAnsi="Times New Roman" w:eastAsia="仿宋_GB2312"/>
          <w:color w:val="000000"/>
          <w:sz w:val="32"/>
          <w:szCs w:val="32"/>
        </w:rPr>
        <w:t>社会保障和就业</w:t>
      </w:r>
      <w:r>
        <w:rPr>
          <w:rFonts w:hint="eastAsia" w:ascii="仿宋_GB2312" w:hAnsi="Times New Roman" w:eastAsia="仿宋_GB2312"/>
          <w:color w:val="000000"/>
          <w:sz w:val="32"/>
          <w:szCs w:val="32"/>
          <w:lang w:eastAsia="zh-CN"/>
        </w:rPr>
        <w:t>支出</w:t>
      </w:r>
      <w:r>
        <w:rPr>
          <w:rFonts w:hint="eastAsia" w:ascii="仿宋_GB2312" w:hAnsi="Times New Roman" w:eastAsia="仿宋_GB2312"/>
          <w:color w:val="000000"/>
          <w:sz w:val="32"/>
          <w:szCs w:val="32"/>
        </w:rPr>
        <w:t xml:space="preserve">（类）行政事业单位养老支出（款）事业单位离退休（项）: </w:t>
      </w:r>
      <w:r>
        <w:rPr>
          <w:rFonts w:hint="eastAsia" w:ascii="仿宋_GB2312" w:hAnsi="Times New Roman" w:eastAsia="仿宋_GB2312"/>
          <w:color w:val="000000"/>
          <w:sz w:val="32"/>
          <w:szCs w:val="32"/>
          <w:lang w:eastAsia="zh-CN"/>
        </w:rPr>
        <w:t>指</w:t>
      </w:r>
      <w:r>
        <w:rPr>
          <w:rFonts w:hint="eastAsia" w:ascii="仿宋_GB2312" w:hAnsi="Times New Roman" w:eastAsia="仿宋_GB2312"/>
          <w:color w:val="000000"/>
          <w:sz w:val="32"/>
          <w:szCs w:val="32"/>
          <w:lang w:val="en-US" w:eastAsia="zh-CN"/>
        </w:rPr>
        <w:t>事业单位开支的离退休经费。</w:t>
      </w:r>
    </w:p>
    <w:p>
      <w:pPr>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社会保障和就业</w:t>
      </w:r>
      <w:r>
        <w:rPr>
          <w:rFonts w:hint="eastAsia" w:ascii="仿宋_GB2312" w:hAnsi="Times New Roman" w:eastAsia="仿宋_GB2312"/>
          <w:color w:val="000000"/>
          <w:sz w:val="32"/>
          <w:szCs w:val="32"/>
          <w:lang w:eastAsia="zh-CN"/>
        </w:rPr>
        <w:t>支出</w:t>
      </w:r>
      <w:r>
        <w:rPr>
          <w:rFonts w:hint="eastAsia" w:ascii="仿宋_GB2312" w:hAnsi="Times New Roman" w:eastAsia="仿宋_GB2312"/>
          <w:color w:val="000000"/>
          <w:sz w:val="32"/>
          <w:szCs w:val="32"/>
        </w:rPr>
        <w:t xml:space="preserve">（类）行政事业单位养老支出（款） 机关事业单位基本养老保险缴费支出（项）: </w:t>
      </w:r>
      <w:r>
        <w:rPr>
          <w:rFonts w:hint="eastAsia" w:ascii="仿宋_GB2312" w:hAnsi="Times New Roman" w:eastAsia="仿宋_GB2312"/>
          <w:color w:val="000000"/>
          <w:sz w:val="32"/>
          <w:szCs w:val="32"/>
          <w:lang w:eastAsia="zh-CN"/>
        </w:rPr>
        <w:t>指机关事业单位实施养老保险制度</w:t>
      </w:r>
      <w:r>
        <w:rPr>
          <w:rFonts w:hint="eastAsia" w:ascii="仿宋_GB2312" w:eastAsia="仿宋_GB2312"/>
          <w:color w:val="000000"/>
          <w:sz w:val="32"/>
          <w:szCs w:val="32"/>
          <w:lang w:val="en-US" w:eastAsia="zh-CN"/>
        </w:rPr>
        <w:t>由</w:t>
      </w:r>
      <w:r>
        <w:rPr>
          <w:rFonts w:hint="eastAsia" w:ascii="仿宋_GB2312" w:hAnsi="Times New Roman" w:eastAsia="仿宋_GB2312"/>
          <w:color w:val="000000"/>
          <w:sz w:val="32"/>
          <w:szCs w:val="32"/>
          <w:lang w:eastAsia="zh-CN"/>
        </w:rPr>
        <w:t>单位缴纳的基本养老保险费支出。</w:t>
      </w:r>
    </w:p>
    <w:p>
      <w:pPr>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val="en-US" w:eastAsia="zh-CN"/>
        </w:rPr>
        <w:t>7</w:t>
      </w:r>
      <w:r>
        <w:rPr>
          <w:rFonts w:hint="eastAsia" w:ascii="仿宋_GB2312" w:hAnsi="Times New Roman" w:eastAsia="仿宋_GB2312"/>
          <w:color w:val="000000"/>
          <w:sz w:val="32"/>
          <w:szCs w:val="32"/>
        </w:rPr>
        <w:t>.卫生健康</w:t>
      </w:r>
      <w:r>
        <w:rPr>
          <w:rFonts w:hint="eastAsia" w:ascii="仿宋_GB2312" w:hAnsi="Times New Roman" w:eastAsia="仿宋_GB2312"/>
          <w:color w:val="000000"/>
          <w:sz w:val="32"/>
          <w:szCs w:val="32"/>
          <w:lang w:eastAsia="zh-CN"/>
        </w:rPr>
        <w:t>支出</w:t>
      </w:r>
      <w:r>
        <w:rPr>
          <w:rFonts w:hint="eastAsia" w:ascii="仿宋_GB2312" w:hAnsi="Times New Roman" w:eastAsia="仿宋_GB2312"/>
          <w:color w:val="000000"/>
          <w:sz w:val="32"/>
          <w:szCs w:val="32"/>
        </w:rPr>
        <w:t>（类）行政事业单位医疗（款）事业单位医疗（项）:</w:t>
      </w:r>
      <w:r>
        <w:rPr>
          <w:rFonts w:hint="eastAsia" w:ascii="仿宋_GB2312" w:hAnsi="Times New Roman" w:eastAsia="仿宋_GB2312"/>
          <w:color w:val="000000"/>
          <w:sz w:val="32"/>
          <w:szCs w:val="32"/>
          <w:lang w:eastAsia="zh-CN"/>
        </w:rPr>
        <w:t>指财政部门安排的事业单位基本医疗保险缴费经费，未参加医疗保险的事业单位的公费医疗经费，按国家规定享受离休人员待遇的医疗经费。</w:t>
      </w:r>
    </w:p>
    <w:p>
      <w:pPr>
        <w:numPr>
          <w:ilvl w:val="0"/>
          <w:numId w:val="0"/>
        </w:numPr>
        <w:ind w:firstLine="640" w:firstLineChars="200"/>
        <w:rPr>
          <w:rFonts w:hint="eastAsia" w:ascii="仿宋_GB2312" w:hAnsi="Times New Roman"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自然资源海洋气象等支出（类）自然资源事务（款）土地资源储备支出（项）:</w:t>
      </w:r>
      <w:r>
        <w:rPr>
          <w:rFonts w:hint="eastAsia" w:ascii="仿宋_GB2312" w:hAnsi="Times New Roman" w:eastAsia="仿宋_GB2312"/>
          <w:color w:val="000000"/>
          <w:sz w:val="32"/>
          <w:szCs w:val="32"/>
          <w:lang w:eastAsia="zh-CN"/>
        </w:rPr>
        <w:t>指用于土地资源储备方面的支出。</w:t>
      </w:r>
    </w:p>
    <w:p>
      <w:pPr>
        <w:numPr>
          <w:ilvl w:val="0"/>
          <w:numId w:val="0"/>
        </w:numPr>
        <w:ind w:firstLine="640" w:firstLineChars="200"/>
        <w:rPr>
          <w:rFonts w:hint="eastAsia" w:ascii="仿宋_GB2312" w:hAnsi="Times New Roman" w:eastAsia="仿宋_GB2312"/>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自然资源海洋气象等支出（类）自然资源事务（款）事业运行（项）:</w:t>
      </w:r>
      <w:r>
        <w:rPr>
          <w:rFonts w:hint="eastAsia" w:ascii="仿宋_GB2312" w:hAnsi="Times New Roman" w:eastAsia="仿宋_GB2312"/>
          <w:color w:val="000000"/>
          <w:sz w:val="32"/>
          <w:szCs w:val="32"/>
          <w:lang w:eastAsia="zh-CN"/>
        </w:rPr>
        <w:t>指事业单位的基本支出，不包括行政单位（包括实行公务员管理的事业单位）后勤服务中心、医务室等附属事业单位。</w:t>
      </w:r>
    </w:p>
    <w:p>
      <w:pPr>
        <w:numPr>
          <w:ilvl w:val="0"/>
          <w:numId w:val="0"/>
        </w:numPr>
        <w:ind w:firstLine="640" w:firstLineChars="200"/>
        <w:rPr>
          <w:rFonts w:hint="default" w:ascii="仿宋_GB2312" w:hAnsi="Times New Roman" w:eastAsia="仿宋_GB2312"/>
          <w:color w:val="000000"/>
          <w:sz w:val="32"/>
          <w:szCs w:val="32"/>
          <w:lang w:val="en-US" w:eastAsia="zh-CN"/>
        </w:rPr>
      </w:pPr>
      <w:r>
        <w:rPr>
          <w:rFonts w:hint="eastAsia" w:ascii="仿宋_GB2312" w:eastAsia="仿宋_GB2312"/>
          <w:color w:val="000000"/>
          <w:sz w:val="32"/>
          <w:szCs w:val="32"/>
          <w:lang w:val="en-US" w:eastAsia="zh-CN"/>
        </w:rPr>
        <w:t>10</w:t>
      </w:r>
      <w:r>
        <w:rPr>
          <w:rFonts w:hint="eastAsia" w:ascii="仿宋_GB2312" w:hAnsi="Times New Roman" w:eastAsia="仿宋_GB2312"/>
          <w:color w:val="000000"/>
          <w:sz w:val="32"/>
          <w:szCs w:val="32"/>
          <w:lang w:val="en-US" w:eastAsia="zh-CN"/>
        </w:rPr>
        <w:t>.住房保障支出</w:t>
      </w:r>
      <w:r>
        <w:rPr>
          <w:rFonts w:hint="eastAsia" w:ascii="仿宋_GB2312" w:hAnsi="Times New Roman" w:eastAsia="仿宋_GB2312"/>
          <w:color w:val="000000"/>
          <w:sz w:val="32"/>
          <w:szCs w:val="32"/>
        </w:rPr>
        <w:t>（类）住房改革支出（款）住房公积金（项）:</w:t>
      </w:r>
      <w:r>
        <w:rPr>
          <w:rFonts w:hint="eastAsia" w:ascii="仿宋_GB2312" w:hAnsi="Times New Roman" w:eastAsia="仿宋_GB2312"/>
          <w:color w:val="000000"/>
          <w:sz w:val="32"/>
          <w:szCs w:val="32"/>
          <w:lang w:eastAsia="zh-CN"/>
        </w:rPr>
        <w:t>指行政事业单位按人力资源和社会保障部、财政部规定的基本工资和津贴补贴以及规定比例为职工缴纳的住房公积金。</w:t>
      </w:r>
    </w:p>
    <w:p>
      <w:pPr>
        <w:numPr>
          <w:ilvl w:val="0"/>
          <w:numId w:val="0"/>
        </w:numPr>
        <w:ind w:firstLine="640" w:firstLineChars="200"/>
        <w:rPr>
          <w:rFonts w:ascii="仿宋_GB2312"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eastAsia="仿宋_GB2312"/>
          <w:color w:val="000000"/>
          <w:sz w:val="32"/>
          <w:szCs w:val="32"/>
          <w:lang w:val="en-US" w:eastAsia="zh-CN"/>
        </w:rPr>
        <w:t>1</w:t>
      </w:r>
      <w:r>
        <w:rPr>
          <w:rFonts w:hint="eastAsia" w:ascii="仿宋_GB2312" w:hAnsi="Times New Roman" w:eastAsia="仿宋_GB2312"/>
          <w:color w:val="000000"/>
          <w:sz w:val="32"/>
          <w:szCs w:val="32"/>
          <w:lang w:val="en-US" w:eastAsia="zh-CN"/>
        </w:rPr>
        <w:t>.</w:t>
      </w:r>
      <w:r>
        <w:rPr>
          <w:rFonts w:hint="eastAsia" w:ascii="仿宋_GB2312" w:eastAsia="仿宋_GB2312"/>
          <w:color w:val="000000"/>
          <w:sz w:val="32"/>
          <w:szCs w:val="32"/>
        </w:rPr>
        <w:t>基本支出：指为保障机构正常运转、完成日常工作任务而发生的人员支出和公用支出。</w:t>
      </w:r>
    </w:p>
    <w:p>
      <w:pPr>
        <w:numPr>
          <w:ilvl w:val="0"/>
          <w:numId w:val="0"/>
        </w:numPr>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1</w:t>
      </w:r>
      <w:r>
        <w:rPr>
          <w:rFonts w:hint="eastAsia" w:ascii="仿宋_GB2312" w:eastAsia="仿宋_GB2312"/>
          <w:color w:val="000000"/>
          <w:sz w:val="32"/>
          <w:szCs w:val="32"/>
          <w:lang w:val="en-US" w:eastAsia="zh-CN"/>
        </w:rPr>
        <w:t>2</w:t>
      </w:r>
      <w:r>
        <w:rPr>
          <w:rFonts w:hint="eastAsia" w:ascii="仿宋_GB2312" w:hAnsi="Times New Roman" w:eastAsia="仿宋_GB2312"/>
          <w:color w:val="000000"/>
          <w:sz w:val="32"/>
          <w:szCs w:val="32"/>
          <w:lang w:val="en-US" w:eastAsia="zh-CN"/>
        </w:rPr>
        <w:t>.</w:t>
      </w:r>
      <w:r>
        <w:rPr>
          <w:rFonts w:hint="eastAsia" w:ascii="仿宋_GB2312" w:eastAsia="仿宋_GB2312"/>
          <w:color w:val="000000"/>
          <w:sz w:val="32"/>
          <w:szCs w:val="32"/>
        </w:rPr>
        <w:t>项目支出：指在基本支出之外为完成特定行政任务和事业发展目标所发生的支出。</w:t>
      </w:r>
    </w:p>
    <w:p>
      <w:pPr>
        <w:numPr>
          <w:ilvl w:val="0"/>
          <w:numId w:val="0"/>
        </w:numPr>
        <w:ind w:firstLine="640" w:firstLineChars="200"/>
        <w:rPr>
          <w:rFonts w:hint="eastAsia" w:ascii="仿宋_GB2312" w:hAnsi="Times New Roman" w:eastAsia="仿宋_GB2312"/>
          <w:color w:val="000000"/>
          <w:sz w:val="32"/>
          <w:szCs w:val="32"/>
          <w:lang w:val="en-US" w:eastAsia="zh-CN"/>
        </w:rPr>
      </w:pPr>
      <w:r>
        <w:rPr>
          <w:rFonts w:hint="eastAsia" w:ascii="仿宋_GB2312" w:eastAsia="仿宋_GB2312"/>
          <w:color w:val="000000"/>
          <w:sz w:val="32"/>
          <w:szCs w:val="32"/>
          <w:lang w:val="en-US" w:eastAsia="zh-CN"/>
        </w:rPr>
        <w:t>13</w:t>
      </w:r>
      <w:r>
        <w:rPr>
          <w:rFonts w:hint="eastAsia" w:ascii="仿宋_GB2312" w:hAnsi="Times New Roman" w:eastAsia="仿宋_GB2312"/>
          <w:color w:val="000000"/>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7"/>
          <w:rFonts w:ascii="黑体" w:hAnsi="黑体" w:eastAsia="黑体"/>
          <w:b w:val="0"/>
          <w:color w:val="auto"/>
          <w:highlight w:val="none"/>
        </w:rPr>
      </w:pPr>
      <w:bookmarkStart w:id="51" w:name="_Toc15396614"/>
      <w:bookmarkStart w:id="52" w:name="_Toc15377226"/>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51"/>
    </w:p>
    <w:p>
      <w:pPr>
        <w:jc w:val="both"/>
        <w:rPr>
          <w:rFonts w:hint="eastAsia" w:ascii="仿宋_GB2312" w:hAnsi="宋体" w:eastAsia="仿宋_GB2312"/>
          <w:sz w:val="32"/>
          <w:szCs w:val="32"/>
          <w:lang w:val="zh-CN" w:eastAsia="zh-CN"/>
        </w:rPr>
      </w:pPr>
      <w:bookmarkStart w:id="53" w:name="_Toc15396618"/>
      <w:r>
        <w:rPr>
          <w:rFonts w:hint="eastAsia" w:ascii="仿宋_GB2312" w:hAnsi="仿宋_GB2312" w:eastAsia="仿宋_GB2312" w:cs="仿宋_GB2312"/>
          <w:sz w:val="32"/>
          <w:szCs w:val="32"/>
          <w:lang w:val="en-US" w:eastAsia="zh-CN"/>
        </w:rPr>
        <w:t>附件1：</w:t>
      </w:r>
      <w:r>
        <w:rPr>
          <w:rFonts w:hint="eastAsia" w:ascii="仿宋_GB2312" w:hAnsi="宋体" w:eastAsia="仿宋_GB2312"/>
          <w:sz w:val="32"/>
          <w:szCs w:val="32"/>
          <w:lang w:val="zh-CN" w:eastAsia="zh-CN"/>
        </w:rPr>
        <w:t>部门预算项目支出绩效自评报告</w:t>
      </w:r>
    </w:p>
    <w:p>
      <w:pPr>
        <w:jc w:val="both"/>
        <w:rPr>
          <w:rFonts w:hint="eastAsia" w:ascii="黑体" w:hAnsi="黑体" w:eastAsia="黑体"/>
          <w:color w:val="auto"/>
          <w:sz w:val="44"/>
          <w:szCs w:val="44"/>
          <w:highlight w:val="none"/>
        </w:rPr>
      </w:pPr>
      <w:r>
        <w:rPr>
          <w:rFonts w:hint="eastAsia" w:ascii="仿宋_GB2312" w:hAnsi="宋体" w:eastAsia="仿宋_GB2312"/>
          <w:sz w:val="32"/>
          <w:szCs w:val="32"/>
          <w:lang w:val="zh-CN" w:eastAsia="zh-CN"/>
        </w:rPr>
        <w:t>附件</w:t>
      </w:r>
      <w:r>
        <w:rPr>
          <w:rFonts w:hint="eastAsia" w:ascii="仿宋_GB2312" w:hAnsi="宋体" w:eastAsia="仿宋_GB2312"/>
          <w:sz w:val="32"/>
          <w:szCs w:val="32"/>
          <w:lang w:val="en-US" w:eastAsia="zh-CN"/>
        </w:rPr>
        <w:t>2：报告附表</w:t>
      </w: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7"/>
    </w:p>
    <w:p>
      <w:pPr>
        <w:pStyle w:val="4"/>
        <w:rPr>
          <w:rStyle w:val="28"/>
          <w:rFonts w:ascii="仿宋" w:hAnsi="仿宋" w:eastAsia="仿宋"/>
          <w:b w:val="0"/>
          <w:bCs w:val="0"/>
          <w:color w:val="auto"/>
          <w:highlight w:val="none"/>
        </w:rPr>
      </w:pPr>
      <w:bookmarkStart w:id="58"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5"/>
    </w:p>
    <w:p>
      <w:pPr>
        <w:pStyle w:val="4"/>
        <w:rPr>
          <w:rStyle w:val="28"/>
          <w:rFonts w:hint="eastAsia" w:ascii="仿宋" w:hAnsi="仿宋" w:eastAsia="仿宋"/>
          <w:b w:val="0"/>
          <w:bCs w:val="0"/>
          <w:color w:val="auto"/>
          <w:highlight w:val="none"/>
        </w:rPr>
      </w:pPr>
      <w:bookmarkStart w:id="66"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NjFlZTNhN2YzY2ZhZmQxNjIyMWJmNDJhYTk1OG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B877AC"/>
    <w:rsid w:val="02853C19"/>
    <w:rsid w:val="092D593D"/>
    <w:rsid w:val="09BE3C9C"/>
    <w:rsid w:val="0A2032A3"/>
    <w:rsid w:val="0B8A37D8"/>
    <w:rsid w:val="0D5A208B"/>
    <w:rsid w:val="0E6E5228"/>
    <w:rsid w:val="10C055FF"/>
    <w:rsid w:val="10F715DE"/>
    <w:rsid w:val="118107EC"/>
    <w:rsid w:val="11CD5847"/>
    <w:rsid w:val="11DD6519"/>
    <w:rsid w:val="12296224"/>
    <w:rsid w:val="12485FBA"/>
    <w:rsid w:val="131C78F2"/>
    <w:rsid w:val="138001E0"/>
    <w:rsid w:val="147B40D9"/>
    <w:rsid w:val="16BB723D"/>
    <w:rsid w:val="17DE2175"/>
    <w:rsid w:val="18015F3F"/>
    <w:rsid w:val="18432EBE"/>
    <w:rsid w:val="1AA8207F"/>
    <w:rsid w:val="1BE8440E"/>
    <w:rsid w:val="1D155CEE"/>
    <w:rsid w:val="20F57F95"/>
    <w:rsid w:val="237D5532"/>
    <w:rsid w:val="240371BF"/>
    <w:rsid w:val="241A2627"/>
    <w:rsid w:val="25C741E6"/>
    <w:rsid w:val="27842671"/>
    <w:rsid w:val="29FD04D3"/>
    <w:rsid w:val="2ABE7A3E"/>
    <w:rsid w:val="2EFA178C"/>
    <w:rsid w:val="2F08638A"/>
    <w:rsid w:val="30A73D69"/>
    <w:rsid w:val="30B46D73"/>
    <w:rsid w:val="319F7F4E"/>
    <w:rsid w:val="357427C4"/>
    <w:rsid w:val="35A73EAE"/>
    <w:rsid w:val="376A537A"/>
    <w:rsid w:val="37A53A40"/>
    <w:rsid w:val="39917D4F"/>
    <w:rsid w:val="39AE70AB"/>
    <w:rsid w:val="3C0C0783"/>
    <w:rsid w:val="3F9F3A96"/>
    <w:rsid w:val="41F64824"/>
    <w:rsid w:val="42F91447"/>
    <w:rsid w:val="436102C0"/>
    <w:rsid w:val="45841F57"/>
    <w:rsid w:val="493C27E9"/>
    <w:rsid w:val="496F39ED"/>
    <w:rsid w:val="49FF41D3"/>
    <w:rsid w:val="4BE068DB"/>
    <w:rsid w:val="4BF6002B"/>
    <w:rsid w:val="4ECE2238"/>
    <w:rsid w:val="51DB4B86"/>
    <w:rsid w:val="525A72E1"/>
    <w:rsid w:val="55333C3E"/>
    <w:rsid w:val="576718CF"/>
    <w:rsid w:val="576E4013"/>
    <w:rsid w:val="59E9798D"/>
    <w:rsid w:val="5BB22493"/>
    <w:rsid w:val="5E9C3F8B"/>
    <w:rsid w:val="604B041E"/>
    <w:rsid w:val="64CA39A1"/>
    <w:rsid w:val="662A377E"/>
    <w:rsid w:val="6A4B66AD"/>
    <w:rsid w:val="6ABB06EE"/>
    <w:rsid w:val="6C4A05C8"/>
    <w:rsid w:val="6D88327B"/>
    <w:rsid w:val="6E2249A7"/>
    <w:rsid w:val="6F4A41E4"/>
    <w:rsid w:val="6FB91D04"/>
    <w:rsid w:val="72734D90"/>
    <w:rsid w:val="73476F86"/>
    <w:rsid w:val="73517A09"/>
    <w:rsid w:val="74671F44"/>
    <w:rsid w:val="780707E2"/>
    <w:rsid w:val="78C64D97"/>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章标题"/>
    <w:basedOn w:val="1"/>
    <w:next w:val="18"/>
    <w:qFormat/>
    <w:uiPriority w:val="0"/>
    <w:pPr>
      <w:widowControl/>
      <w:spacing w:before="158" w:beforeLines="0" w:after="153" w:afterLines="0" w:line="323" w:lineRule="atLeast"/>
      <w:ind w:right="-120"/>
      <w:jc w:val="center"/>
      <w:textAlignment w:val="baseline"/>
    </w:pPr>
    <w:rPr>
      <w:color w:val="FF0000"/>
      <w:sz w:val="18"/>
    </w:rPr>
  </w:style>
  <w:style w:type="paragraph" w:customStyle="1" w:styleId="18">
    <w:name w:val="节标题"/>
    <w:basedOn w:val="1"/>
    <w:next w:val="1"/>
    <w:qFormat/>
    <w:uiPriority w:val="0"/>
    <w:pPr>
      <w:widowControl/>
      <w:spacing w:line="289" w:lineRule="atLeast"/>
      <w:jc w:val="center"/>
      <w:textAlignment w:val="baseline"/>
    </w:pPr>
    <w:rPr>
      <w:color w:val="000000"/>
      <w:sz w:val="28"/>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4"/>
    <w:link w:val="3"/>
    <w:qFormat/>
    <w:uiPriority w:val="9"/>
    <w:rPr>
      <w:rFonts w:ascii="Times New Roman" w:hAnsi="Times New Roman"/>
      <w:b/>
      <w:bCs/>
      <w:kern w:val="44"/>
      <w:sz w:val="44"/>
      <w:szCs w:val="44"/>
    </w:rPr>
  </w:style>
  <w:style w:type="character" w:customStyle="1" w:styleId="28">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4"/>
    <w:link w:val="7"/>
    <w:semiHidden/>
    <w:qFormat/>
    <w:uiPriority w:val="99"/>
    <w:rPr>
      <w:rFonts w:ascii="Times New Roman" w:hAnsi="Times New Roman"/>
      <w:kern w:val="2"/>
      <w:sz w:val="18"/>
      <w:szCs w:val="18"/>
    </w:rPr>
  </w:style>
  <w:style w:type="character" w:customStyle="1" w:styleId="31">
    <w:name w:val="标题 3 Char"/>
    <w:basedOn w:val="14"/>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正文1"/>
    <w:qFormat/>
    <w:uiPriority w:val="0"/>
    <w:pPr>
      <w:widowControl w:val="0"/>
      <w:jc w:val="both"/>
    </w:pPr>
    <w:rPr>
      <w:rFonts w:ascii="Times New Roman" w:hAnsi="Times New Roman" w:eastAsia="宋体" w:cs="Times New Roman"/>
      <w:sz w:val="32"/>
    </w:rPr>
  </w:style>
  <w:style w:type="character" w:customStyle="1" w:styleId="34">
    <w:name w:val="??????2"/>
    <w:qFormat/>
    <w:uiPriority w:val="0"/>
    <w:rPr>
      <w:sz w:val="22"/>
    </w:rPr>
  </w:style>
  <w:style w:type="character" w:customStyle="1" w:styleId="35">
    <w:name w:val="默认段落字体2"/>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25"/>
          <c:y val="0.0568651778329198"/>
          <c:w val="0.628175"/>
          <c:h val="0.854507857733664"/>
        </c:manualLayout>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14715.74</c:v>
                </c:pt>
                <c:pt idx="1">
                  <c:v>29187.8</c:v>
                </c:pt>
              </c:numCache>
            </c:numRef>
          </c:val>
        </c:ser>
        <c:dLbls>
          <c:showLegendKey val="0"/>
          <c:showVal val="1"/>
          <c:showCatName val="0"/>
          <c:showSerName val="0"/>
          <c:showPercent val="0"/>
          <c:showBubbleSize val="0"/>
        </c:dLbls>
        <c:gapWidth val="150"/>
        <c:overlap val="0"/>
        <c:axId val="458417952"/>
        <c:axId val="698404774"/>
      </c:barChart>
      <c:catAx>
        <c:axId val="458417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404774"/>
        <c:crosses val="autoZero"/>
        <c:auto val="1"/>
        <c:lblAlgn val="ctr"/>
        <c:lblOffset val="100"/>
        <c:noMultiLvlLbl val="0"/>
      </c:catAx>
      <c:valAx>
        <c:axId val="6984047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41795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179.9</c:v>
                </c:pt>
                <c:pt idx="1">
                  <c:v>183.09</c:v>
                </c:pt>
              </c:numCache>
            </c:numRef>
          </c:val>
        </c:ser>
        <c:dLbls>
          <c:showLegendKey val="0"/>
          <c:showVal val="1"/>
          <c:showCatName val="0"/>
          <c:showSerName val="0"/>
          <c:showPercent val="0"/>
          <c:showBubbleSize val="0"/>
        </c:dLbls>
        <c:gapWidth val="150"/>
        <c:overlap val="0"/>
        <c:axId val="458417952"/>
        <c:axId val="698404774"/>
      </c:barChart>
      <c:catAx>
        <c:axId val="458417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404774"/>
        <c:crosses val="autoZero"/>
        <c:auto val="1"/>
        <c:lblAlgn val="ctr"/>
        <c:lblOffset val="100"/>
        <c:noMultiLvlLbl val="0"/>
      </c:catAx>
      <c:valAx>
        <c:axId val="6984047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417952"/>
        <c:crosses val="autoZero"/>
        <c:crossBetween val="between"/>
      </c:valAx>
      <c:spPr>
        <a:noFill/>
        <a:ln>
          <a:noFill/>
        </a:ln>
        <a:effectLst/>
      </c:spPr>
    </c:plotArea>
    <c:legend>
      <c:legendPos val="r"/>
      <c:layout>
        <c:manualLayout>
          <c:xMode val="edge"/>
          <c:yMode val="edge"/>
          <c:x val="0.679815339027943"/>
          <c:y val="0.01132930513595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5875"/>
          <c:y val="0.0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909"/>
          <c:y val="0.17562"/>
          <c:w val="0.50182"/>
          <c:h val="0.669093333333333"/>
        </c:manualLayout>
      </c:layout>
      <c:pieChart>
        <c:varyColors val="1"/>
        <c:ser>
          <c:idx val="0"/>
          <c:order val="0"/>
          <c:tx>
            <c:strRef>
              <c:f>Sheet1!$B$1</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937500000000003"/>
                  <c:y val="0.04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315"/>
                  <c:y val="0.202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315"/>
                  <c:y val="0.33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4912</Words>
  <Characters>5341</Characters>
  <Lines>61</Lines>
  <Paragraphs>17</Paragraphs>
  <TotalTime>11</TotalTime>
  <ScaleCrop>false</ScaleCrop>
  <LinksUpToDate>false</LinksUpToDate>
  <CharactersWithSpaces>5391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erua2</cp:lastModifiedBy>
  <cp:lastPrinted>2022-09-01T03:19:00Z</cp:lastPrinted>
  <dcterms:modified xsi:type="dcterms:W3CDTF">2023-09-18T09:29:43Z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645249B465034584B0E71E7D5ACD0230</vt:lpwstr>
  </property>
</Properties>
</file>